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LeRiche Dennis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818"/>
        <w:gridCol w:w="429"/>
        <w:gridCol w:w="984"/>
        <w:gridCol w:w="1349"/>
        <w:gridCol w:w="972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1,060.81</w:t>
            </w:r>
          </w:p>
        </w:tc>
        <w:tc>
          <w:tcPr>
            <w:tcW w:w="1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1,896.1617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1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441.1617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1,060.81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in accordance with the Amended and Restated AutoZone, Inc. 2011 Equity Incentive Award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exercisable in one-fourth increments on October 7, 2020, 2021, 2022, and 2023,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Dennis LeRiche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867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3376</Characters>
  <CharactersWithSpaces>3907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