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26, 2020</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AUTOZONE,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1-10714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62-1482048</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123 South Front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Memphis, Tennessee 38103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(901) 495-6500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90"/>
              </w:rPr>
              <w:t>Common Stock</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7"/>
              </w:rPr>
              <w:t>AZO</w:t>
            </w:r>
          </w:p>
        </w:tc>
        <w:tc>
          <w:tcPr>
            <w:tcW w:w="43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26, 2020, AutoZone, Inc. issued a press release announcing its earnings for the fiscal quarter ended May 9, 2020 which is furnished as Exhibit 99.1.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furnished with this Current Report pursuant to Item 2.02: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tabs>
          <w:tab w:leader="none" w:pos="5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26, 2020</w:t>
        </w:r>
      </w:hyperlink>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80"/>
          </w:cols>
          <w:pgMar w:left="320" w:top="364" w:right="6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6920" w:type="dxa"/>
            <w:vAlign w:val="bottom"/>
            <w:gridSpan w:val="3"/>
          </w:tcPr>
          <w:p>
            <w:pPr>
              <w:ind w:left="2000"/>
              <w:spacing w:after="0"/>
              <w:rPr>
                <w:sz w:val="20"/>
                <w:szCs w:val="20"/>
                <w:color w:val="auto"/>
              </w:rPr>
            </w:pPr>
            <w:r>
              <w:rPr>
                <w:rFonts w:ascii="Arial" w:cs="Arial" w:eastAsia="Arial" w:hAnsi="Arial"/>
                <w:sz w:val="18"/>
                <w:szCs w:val="18"/>
                <w:b w:val="1"/>
                <w:bCs w:val="1"/>
                <w:color w:val="auto"/>
              </w:rPr>
              <w:t>AUTOZONE,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May 26, 2020</w:t>
            </w:r>
          </w:p>
        </w:tc>
        <w:tc>
          <w:tcPr>
            <w:tcW w:w="6920" w:type="dxa"/>
            <w:vAlign w:val="bottom"/>
            <w:gridSpan w:val="3"/>
          </w:tcPr>
          <w:p>
            <w:pPr>
              <w:ind w:left="2000"/>
              <w:spacing w:after="0"/>
              <w:rPr>
                <w:sz w:val="20"/>
                <w:szCs w:val="20"/>
                <w:color w:val="auto"/>
              </w:rPr>
            </w:pPr>
            <w:r>
              <w:rPr>
                <w:rFonts w:ascii="Arial" w:cs="Arial" w:eastAsia="Arial" w:hAnsi="Arial"/>
                <w:sz w:val="18"/>
                <w:szCs w:val="18"/>
                <w:color w:val="auto"/>
              </w:rPr>
              <w:t>By: /s/ William T. Giles</w:t>
            </w: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T. Giles</w:t>
            </w:r>
          </w:p>
        </w:tc>
        <w:tc>
          <w:tcPr>
            <w:tcW w:w="2840" w:type="dxa"/>
            <w:vAlign w:val="bottom"/>
          </w:tcPr>
          <w:p>
            <w:pPr>
              <w:spacing w:after="0"/>
              <w:rPr>
                <w:sz w:val="20"/>
                <w:szCs w:val="20"/>
                <w:color w:val="auto"/>
              </w:rPr>
            </w:pPr>
          </w:p>
        </w:tc>
      </w:tr>
      <w:tr>
        <w:trPr>
          <w:trHeight w:val="229"/>
        </w:trPr>
        <w:tc>
          <w:tcPr>
            <w:tcW w:w="34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w w:val="91"/>
              </w:rPr>
              <w:t>Chief Financial Officer and Executive Vice President - Finance,</w:t>
            </w:r>
          </w:p>
        </w:tc>
      </w:t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Information Technology</w:t>
            </w:r>
          </w:p>
        </w:tc>
      </w:tr>
    </w:tbl>
    <w:p>
      <w:pPr>
        <w:sectPr>
          <w:pgSz w:w="11900" w:h="16838" w:orient="portrait"/>
          <w:cols w:equalWidth="0" w:num="1">
            <w:col w:w="11200"/>
          </w:cols>
          <w:pgMar w:left="320" w:top="540" w:right="379" w:bottom="1440" w:gutter="0" w:footer="0" w:header="0"/>
        </w:sectPr>
      </w:pPr>
    </w:p>
    <w:bookmarkStart w:id="3" w:name="page4"/>
    <w:bookmarkEnd w:id="3"/>
    <w:p>
      <w:pPr>
        <w:spacing w:after="0" w:line="142" w:lineRule="exact"/>
        <w:rPr>
          <w:sz w:val="20"/>
          <w:szCs w:val="20"/>
          <w:color w:val="auto"/>
        </w:rPr>
      </w:pPr>
    </w:p>
    <w:p>
      <w:pPr>
        <w:ind w:left="9880"/>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ind w:left="340" w:right="180"/>
        <w:spacing w:after="0" w:line="282" w:lineRule="auto"/>
        <w:rPr>
          <w:sz w:val="20"/>
          <w:szCs w:val="20"/>
          <w:color w:val="auto"/>
        </w:rPr>
      </w:pPr>
      <w:r>
        <w:rPr>
          <w:rFonts w:ascii="Arial" w:cs="Arial" w:eastAsia="Arial" w:hAnsi="Arial"/>
          <w:sz w:val="25"/>
          <w:szCs w:val="25"/>
          <w:b w:val="1"/>
          <w:bCs w:val="1"/>
          <w:color w:val="auto"/>
        </w:rPr>
        <w:t>AutoZone 3rd Quarter Same Store Sales Decrease 1.0%; EPS Decreases 10.0% to $14.39; Announces Actions in Response to COVID-19</w:t>
      </w:r>
    </w:p>
    <w:p>
      <w:pPr>
        <w:spacing w:after="0" w:line="136"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MEMPHIS, Tenn., May 26, 2020 (GLOBE NEWSWIRE) -- AutoZone, Inc. (NYSE: AZO) today reported net sales of $2.8 billion for its third quarter (12 weeks) ended May 9, 2020, a decrease of 0.1% from the third quarter of fiscal 2019 (12 weeks).</w:t>
      </w:r>
    </w:p>
    <w:p>
      <w:pPr>
        <w:spacing w:after="0" w:line="105"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“Prior to a discussion of our third quarter results, it is important to address the impact the COVID-19 crisis has had on our business. While certain retailers closed their stores during this time, our stores remained open to service the motoring public. First and foremost, the health, safety and well-being of our AutoZoners and customers remains our most important concern. During these times our AutoZoners have made sure customers can safely and responsibly operate their vehicles and get back on the road. To better serve our customers and promote health and safety, we initially reduced the hours of operation in most of our stores, but subsequently have returned to more normal operating hours. We also increased the frequency of cleaning and disinfecting all locations, and introduced new service options for customers, such as curbside pickup. We have provided additional paid time off for both full-time and part-time eligible hourly AutoZoners to help them deal with the challenges they face as a result of COVID-19. During the third quarter, we experienced the most extreme fluctuations in sales, both negative and positive, in the Company’s more than 40 year history. Because of this extreme volatility and uncertainty around the continued effects of the virus and government and consumer responses, it is difficult for us to forecast short-term results with any degree of confidence. But our team has proven yet again that we can flex our business quickly in this dynamic environment, and we significantly enhanced our liquidity as previously announced,” said Bill Rhodes, Chairman, President and Chief Executive Officer.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Third Quarter Results</w:t>
      </w:r>
    </w:p>
    <w:p>
      <w:pPr>
        <w:spacing w:after="0" w:line="20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Domestic same store sales, or sales for stores open at least one year, decreased 1.0% for the quarter. The quarter can best be described in three, four-week segments. The first four weeks were strong as both Retail and Commercial performed well, up mid-single digit same store sales. The next four weeks, the weeks COVID-19 had its first impact on our business, our same store sales were down materially. Over the last four weeks, as federal stimulus checks began to flow through the economy, same store sales turned meaningfully positive.</w:t>
      </w:r>
    </w:p>
    <w:p>
      <w:pPr>
        <w:spacing w:after="0" w:line="187"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For the quarter, gross profit, as a percentage of sales, was flat to last year at 53.6%. Operating expenses, as a percentage of sales, were 35.9% (versus 33.9% the same period last year), with deleverage primarily driven by the unplanned approximate $75 million of costs incurred in response to COVID-19.</w:t>
      </w:r>
    </w:p>
    <w:p>
      <w:pPr>
        <w:spacing w:after="0" w:line="186"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Operating profit decreased 10.2% to $491.7 million compared to $547.5 million in the same period last year. Net income for the quarter decreased 15.5% to $342.9 million compared to $405.9 million in the same period last year, while diluted earnings per share decreased 10.0% to $14.39 per share from $15.99 per share in the year-ago quarter. The benefit from stock options was less favorable this third quarter, only increasing EPS by $0.05/share versus $0.51/share last year.</w:t>
      </w:r>
    </w:p>
    <w:p>
      <w:pPr>
        <w:spacing w:after="0" w:line="143" w:lineRule="exact"/>
        <w:rPr>
          <w:sz w:val="20"/>
          <w:szCs w:val="20"/>
          <w:color w:val="auto"/>
        </w:rPr>
      </w:pPr>
    </w:p>
    <w:p>
      <w:pPr>
        <w:ind w:right="160"/>
        <w:spacing w:after="0" w:line="238" w:lineRule="auto"/>
        <w:rPr>
          <w:sz w:val="20"/>
          <w:szCs w:val="20"/>
          <w:color w:val="auto"/>
        </w:rPr>
      </w:pPr>
      <w:r>
        <w:rPr>
          <w:rFonts w:ascii="Arial" w:cs="Arial" w:eastAsia="Arial" w:hAnsi="Arial"/>
          <w:sz w:val="22"/>
          <w:szCs w:val="22"/>
          <w:color w:val="auto"/>
        </w:rPr>
        <w:t>Under its share repurchase program, AutoZone repurchased 156 thousand shares of its common stock for $166.1 million during the third quarter, at an average price of $1,064 per share. As previously announced, the Company has temporarily suspended its share repurchase program. At the end of the third quarter, the Company had $796 million remaining under its current share repurchase authorization.</w:t>
      </w:r>
    </w:p>
    <w:p>
      <w:pPr>
        <w:spacing w:after="0" w:line="18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Company’s inventory increased 2.7% over the same period last year, driven by new stores and increased product placement. Inventory per store was $685 thousand versus $688 thousand last year and $713 thousand last quarter. Net inventory, defined as merchandise inventories less accounts payable, on a per store basis, was a negative $56 thousand versus negative $58 thousand last year and negative $41 thousand last quarter.</w:t>
      </w:r>
    </w:p>
    <w:p>
      <w:pPr>
        <w:spacing w:after="0" w:line="185"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AutoZone’s strong balance sheet, coupled with its substantial free cash flow, has consistently provided the Company with significant financial flexibility over time. In addition, actions taken during the third quarter of this year to strengthen liquidity further and preserve cash while navigating COVID-19 included closing on an additional $750 million 364-day senior unsecured revolving credit facility. This facility is in addition to a previously existing $2 billion undrawn multi-year credit facility in place. The Company also completed the sale of $1.250 billion aggregate principal unsecured senior notes.</w:t>
      </w:r>
    </w:p>
    <w:p>
      <w:pPr>
        <w:spacing w:after="0" w:line="147"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“I am extraordinarily proud of our team, across the company, for their commitment to helping our customers during these unprecedented times. But I especially want to recognize and praise our store and distribution center AutoZoners. These remarkable people have done an incredible job throughout this time. Our organization cannot thank them enough for their heroic efforts. While we cannot predict sales trends for the upcoming summer months, we have a very resilient business that has performed exceptionally well in a wide variety of economic environments. For the remainder of the year, we will focus on our strategic initiatives of delivering great service, further penetrating the Commercial market, enhancing inventory assortments, improving local market expanded parts availability and leveraging technology to improve efficiencies. We will continue to manage this business for the long-term and will invest capital using our disciplined approach all with the focus on delivering great service, terrific opportunities for our AutoZoners and ultimately strong returns for our investors while supporting the communities we serve,” said Rhodes.</w:t>
      </w:r>
    </w:p>
    <w:p>
      <w:pPr>
        <w:spacing w:after="0" w:line="181" w:lineRule="exact"/>
        <w:rPr>
          <w:sz w:val="20"/>
          <w:szCs w:val="20"/>
          <w:color w:val="auto"/>
        </w:rPr>
      </w:pPr>
    </w:p>
    <w:p>
      <w:pPr>
        <w:ind w:right="360"/>
        <w:spacing w:after="0" w:line="328" w:lineRule="auto"/>
        <w:rPr>
          <w:sz w:val="20"/>
          <w:szCs w:val="20"/>
          <w:color w:val="auto"/>
        </w:rPr>
      </w:pPr>
      <w:r>
        <w:rPr>
          <w:rFonts w:ascii="Arial" w:cs="Arial" w:eastAsia="Arial" w:hAnsi="Arial"/>
          <w:sz w:val="19"/>
          <w:szCs w:val="19"/>
          <w:color w:val="auto"/>
        </w:rPr>
        <w:t>During the quarter ended May 9, 2020, AutoZone opened 21 new stores in the U.S., two in Mexico and none in Brazil. As of May 9, 2020, the Company had 5,836 stores in the U.S., 610 stores in Mexico and 38 stores in Brazil for a total store count of</w:t>
      </w:r>
    </w:p>
    <w:p>
      <w:pPr>
        <w:sectPr>
          <w:pgSz w:w="11900" w:h="16981" w:orient="portrait"/>
          <w:cols w:equalWidth="0" w:num="1">
            <w:col w:w="11240"/>
          </w:cols>
          <w:pgMar w:left="320" w:top="112" w:right="33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6,484.</w:t>
      </w:r>
    </w:p>
    <w:p>
      <w:pPr>
        <w:spacing w:after="0" w:line="207"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AutoZone is the leading retailer and a leading distributor of automotive replacement parts and accessories in the Americas. Each store carries an extensive product line for cars, sport utility vehicles, vans and light trucks, including new and remanufactured automotive hard parts, maintenance items, accessories, and non-automotive products. Many stores also have a commercial sales program that provides commercial credit and prompt delivery of parts and other products to local, regional and national repair garages, dealers, service stations, and public sector accounts. We also have commercial programs in stores in Mexico and Brazil. AutoZone also sells the ALLDATA brand automotive diagnostic and repair software through www.alldata.com and www.alldatadiy.com. Additionally, we sell automotive hard parts, maintenance items, accessories, and non-automotive products through www.autozone.com and our commercial customers can make purchases through www.autozonepro.com. We also provide product information on our Duralast branded products through www.duralastparts.com. AutoZone does not derive revenue from automotive repair or installation services.</w:t>
      </w:r>
    </w:p>
    <w:p>
      <w:pPr>
        <w:spacing w:after="0" w:line="161"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AutoZone will host a conference call this morning, Tuesday, May 26, 2020, beginning at 10:00 a.m. (EDT) to discuss its third quarter results. Investors may listen to the conference call live and review supporting slides on the AutoZone corporate website, www.autozone.com by clicking “Investor Relations,” located at the bottom of the page. The call will also be available by dialing</w:t>
      </w:r>
    </w:p>
    <w:p>
      <w:pPr>
        <w:spacing w:after="0" w:line="1" w:lineRule="exact"/>
        <w:rPr>
          <w:sz w:val="20"/>
          <w:szCs w:val="20"/>
          <w:color w:val="auto"/>
        </w:rPr>
      </w:pPr>
    </w:p>
    <w:p>
      <w:pPr>
        <w:ind w:right="26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839-8923 and entering participant passcode 9697984. A replay of the call and slides will be available on AutoZone’s website. In addition, a replay of the call will be available by dialing (203) 369-1211 through June 25, 2020, 11:59 p.m. (EDT).</w:t>
      </w:r>
    </w:p>
    <w:p>
      <w:pPr>
        <w:spacing w:after="0" w:line="123"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release includes certain financial information not derived in accordance with generally accepted accounting principles (“GAAP”). These non-GAAP financial measures include adjustments to reflect return on invested capital, adjusted debt and adjusted debt to EBITDAR. These calculations include adjustments for pension termination charges and deferred tax liabilities. The Company believes that the presentation of these non-GAAP measures provides information that is useful to investors as it indicates more clearly the Company’s comparative year-to-year operating results, but this information should not be considered a substitute for any measures derived in accordance with GAAP. Management targets the Company’s capital structure in order to maintain its investment grade credit ratings and manages cash flows available for share repurchase by monitoring cash flows before share repurchases, as shown on the attached tables. The Company believes this is important information for the management of its debt levels and share repurchases. We have included a reconciliation of this additional information to the most comparable GAAP measures in the accompanying reconciliation tables.</w:t>
      </w:r>
    </w:p>
    <w:p>
      <w:pPr>
        <w:spacing w:after="0" w:line="161"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Certain statements contained in this press release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are based on assumptions and assessments made by the Company’s management in light of experience and perception of historical trends, current conditions, expected future developments and other factors that the Company believes to be appropriate. These forward-looking statements are subject to a number of risks and uncertainties, including without limitation: product demand; energy prices; weather; competition; credit market conditions; cash flows; access to available and feasible financing; future stock repurchases; the impact of recessionary conditions; consumer debt levels; changes in laws or regulations; war and the prospect of war, including terrorist activity; the impact of public health issues, such as the COVID-19 pandemic; inflation; the ability to hire, train and retain qualified employees; construction delays; the compromising of confidentiality, availability or integrity of information, including cyber-attacks; historic growth rate sustainability; downgrade of the Company’s credit ratings; damage to the Company’s reputation; challenges in international markets; failure or interruption of the Company’s information technology systems; origin and raw material costs of suppliers; disruption in the Company’s supply chain; impact of tariffs; anticipated impact of new accounting standards; and business interruptions. Certain of these risks and uncertainties are described in more detail in the “Risk Factors” section contained in Item 1A under Part 1 of the Company’s Annual Report on Form 10-K for the fiscal year ended August 31, 2019 and in our other SEC filings. These Risk Factors should be read carefully. However, it should be understood that it is not possible to identify or predict all such risks and other factors that could affect these forward-looking statements. Forward-looking statements are not guarantees of future performance, and actual results, developments and business decisions may differ from those contemplated by such forward-looking statements, and events including, but not limited to, those described above could materially and adversely affect the Company’s business. Forward-looking statements speak only as of the date made. Except as required by applicable law, we undertake no obligation to update publicly any forward-looking statements, whether as a result of new information, future events or otherwise. Actual results may materially differ from anticipated results.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Contact Information:</w:t>
      </w:r>
    </w:p>
    <w:p>
      <w:pPr>
        <w:spacing w:after="0" w:line="238" w:lineRule="auto"/>
        <w:rPr>
          <w:sz w:val="20"/>
          <w:szCs w:val="20"/>
          <w:color w:val="auto"/>
        </w:rPr>
      </w:pPr>
      <w:r>
        <w:rPr>
          <w:rFonts w:ascii="Arial" w:cs="Arial" w:eastAsia="Arial" w:hAnsi="Arial"/>
          <w:sz w:val="22"/>
          <w:szCs w:val="22"/>
          <w:color w:val="auto"/>
        </w:rPr>
        <w:t>Financial: Brian Campbell at (901) 495-7005, brian.campbell@autozone.com</w:t>
      </w:r>
    </w:p>
    <w:p>
      <w:pPr>
        <w:spacing w:after="0"/>
        <w:rPr>
          <w:sz w:val="20"/>
          <w:szCs w:val="20"/>
          <w:color w:val="auto"/>
        </w:rPr>
      </w:pPr>
      <w:r>
        <w:rPr>
          <w:rFonts w:ascii="Arial" w:cs="Arial" w:eastAsia="Arial" w:hAnsi="Arial"/>
          <w:sz w:val="22"/>
          <w:szCs w:val="22"/>
          <w:color w:val="auto"/>
        </w:rPr>
        <w:t>Media: David McKinney at (901) 495-7951, david.mckinney@autozone.com</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AutoZone's 3rd Quarter Highlights - Fiscal 2020</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3rd Quarter, FY2020</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(in thousands, except per share data)</w:t>
      </w:r>
    </w:p>
    <w:p>
      <w:pPr>
        <w:spacing w:after="0" w:line="17" w:lineRule="exact"/>
        <w:rPr>
          <w:sz w:val="20"/>
          <w:szCs w:val="20"/>
          <w:color w:val="auto"/>
        </w:rPr>
      </w:pPr>
    </w:p>
    <w:p>
      <w:pPr>
        <w:ind w:left="7500"/>
        <w:spacing w:after="0"/>
        <w:rPr>
          <w:sz w:val="20"/>
          <w:szCs w:val="20"/>
          <w:color w:val="auto"/>
        </w:rPr>
      </w:pPr>
      <w:r>
        <w:rPr>
          <w:rFonts w:ascii="Arial" w:cs="Arial" w:eastAsia="Arial" w:hAnsi="Arial"/>
          <w:sz w:val="22"/>
          <w:szCs w:val="22"/>
          <w:b w:val="1"/>
          <w:bCs w:val="1"/>
          <w:color w:val="auto"/>
        </w:rPr>
        <w:t>GAAP Results</w:t>
      </w:r>
    </w:p>
    <w:p>
      <w:pPr>
        <w:spacing w:after="0" w:line="17" w:lineRule="exact"/>
        <w:rPr>
          <w:sz w:val="20"/>
          <w:szCs w:val="20"/>
          <w:color w:val="auto"/>
        </w:rPr>
      </w:pPr>
    </w:p>
    <w:tbl>
      <w:tblPr>
        <w:tblLayout w:type="fixed"/>
        <w:tblInd w:w="6640" w:type="dxa"/>
        <w:tblCellMar>
          <w:top w:w="0" w:type="dxa"/>
          <w:left w:w="0" w:type="dxa"/>
          <w:bottom w:w="0" w:type="dxa"/>
          <w:right w:w="0" w:type="dxa"/>
        </w:tblCellMar>
      </w:tblPr>
      <w:tr>
        <w:trPr>
          <w:trHeight w:val="226"/>
        </w:trPr>
        <w:tc>
          <w:tcPr>
            <w:tcW w:w="1600" w:type="dxa"/>
            <w:vAlign w:val="bottom"/>
            <w:tcBorders>
              <w:top w:val="single" w:sz="8" w:color="auto"/>
            </w:tcBorders>
            <w:gridSpan w:val="2"/>
          </w:tcPr>
          <w:p>
            <w:pPr>
              <w:jc w:val="center"/>
              <w:ind w:right="100"/>
              <w:spacing w:after="0" w:line="226" w:lineRule="exact"/>
              <w:rPr>
                <w:sz w:val="20"/>
                <w:szCs w:val="20"/>
                <w:color w:val="auto"/>
              </w:rPr>
            </w:pPr>
            <w:r>
              <w:rPr>
                <w:rFonts w:ascii="Arial" w:cs="Arial" w:eastAsia="Arial" w:hAnsi="Arial"/>
                <w:sz w:val="22"/>
                <w:szCs w:val="22"/>
                <w:b w:val="1"/>
                <w:bCs w:val="1"/>
                <w:color w:val="auto"/>
                <w:w w:val="85"/>
              </w:rPr>
              <w:t>12 Weeks</w:t>
            </w:r>
          </w:p>
        </w:tc>
        <w:tc>
          <w:tcPr>
            <w:tcW w:w="1440" w:type="dxa"/>
            <w:vAlign w:val="bottom"/>
            <w:tcBorders>
              <w:top w:val="single" w:sz="8" w:color="auto"/>
            </w:tcBorders>
          </w:tcPr>
          <w:p>
            <w:pPr>
              <w:jc w:val="center"/>
              <w:spacing w:after="0" w:line="226" w:lineRule="exact"/>
              <w:rPr>
                <w:sz w:val="20"/>
                <w:szCs w:val="20"/>
                <w:color w:val="auto"/>
              </w:rPr>
            </w:pPr>
            <w:r>
              <w:rPr>
                <w:rFonts w:ascii="Arial" w:cs="Arial" w:eastAsia="Arial" w:hAnsi="Arial"/>
                <w:sz w:val="22"/>
                <w:szCs w:val="22"/>
                <w:b w:val="1"/>
                <w:bCs w:val="1"/>
                <w:color w:val="auto"/>
                <w:w w:val="85"/>
              </w:rPr>
              <w:t>12 Weeks</w:t>
            </w:r>
          </w:p>
        </w:tc>
      </w:tr>
      <w:tr>
        <w:trPr>
          <w:trHeight w:val="279"/>
        </w:trPr>
        <w:tc>
          <w:tcPr>
            <w:tcW w:w="1600" w:type="dxa"/>
            <w:vAlign w:val="bottom"/>
            <w:gridSpan w:val="2"/>
          </w:tcPr>
          <w:p>
            <w:pPr>
              <w:jc w:val="center"/>
              <w:ind w:right="80"/>
              <w:spacing w:after="0"/>
              <w:rPr>
                <w:sz w:val="20"/>
                <w:szCs w:val="20"/>
                <w:color w:val="auto"/>
              </w:rPr>
            </w:pPr>
            <w:r>
              <w:rPr>
                <w:rFonts w:ascii="Arial" w:cs="Arial" w:eastAsia="Arial" w:hAnsi="Arial"/>
                <w:sz w:val="22"/>
                <w:szCs w:val="22"/>
                <w:b w:val="1"/>
                <w:bCs w:val="1"/>
                <w:color w:val="auto"/>
                <w:w w:val="89"/>
              </w:rPr>
              <w:t>Ended</w:t>
            </w: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9"/>
              </w:rPr>
              <w:t>Ended</w:t>
            </w:r>
          </w:p>
        </w:tc>
      </w:tr>
      <w:tr>
        <w:trPr>
          <w:trHeight w:val="329"/>
        </w:trPr>
        <w:tc>
          <w:tcPr>
            <w:tcW w:w="1500" w:type="dxa"/>
            <w:vAlign w:val="bottom"/>
            <w:tcBorders>
              <w:bottom w:val="single" w:sz="8" w:color="auto"/>
            </w:tcBorders>
          </w:tcPr>
          <w:p>
            <w:pPr>
              <w:jc w:val="center"/>
              <w:spacing w:after="0" w:line="329" w:lineRule="exact"/>
              <w:rPr>
                <w:sz w:val="20"/>
                <w:szCs w:val="20"/>
                <w:color w:val="auto"/>
              </w:rPr>
            </w:pPr>
            <w:r>
              <w:rPr>
                <w:rFonts w:ascii="Arial" w:cs="Arial" w:eastAsia="Arial" w:hAnsi="Arial"/>
                <w:sz w:val="22"/>
                <w:szCs w:val="22"/>
                <w:b w:val="1"/>
                <w:bCs w:val="1"/>
                <w:color w:val="auto"/>
                <w:w w:val="88"/>
              </w:rPr>
              <w:t>May 9, 2020</w:t>
            </w:r>
            <w:r>
              <w:rPr>
                <w:rFonts w:ascii="Arial" w:cs="Arial" w:eastAsia="Arial" w:hAnsi="Arial"/>
                <w:sz w:val="35"/>
                <w:szCs w:val="35"/>
                <w:b w:val="1"/>
                <w:bCs w:val="1"/>
                <w:color w:val="auto"/>
                <w:w w:val="88"/>
                <w:vertAlign w:val="superscript"/>
              </w:rPr>
              <w:t>(2)</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May 4, 2019</w:t>
            </w:r>
          </w:p>
        </w:tc>
      </w:tr>
    </w:tbl>
    <w:p>
      <w:pPr>
        <w:sectPr>
          <w:pgSz w:w="11900" w:h="16838" w:orient="portrait"/>
          <w:cols w:equalWidth="0" w:num="1">
            <w:col w:w="11240"/>
          </w:cols>
          <w:pgMar w:left="320" w:top="118" w:right="339" w:bottom="0" w:gutter="0" w:footer="0" w:header="0"/>
        </w:sectPr>
      </w:pPr>
    </w:p>
    <w:bookmarkStart w:id="5" w:name="page6"/>
    <w:bookmarkEnd w:id="5"/>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Net sales</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2,779,299</w:t>
            </w:r>
          </w:p>
        </w:tc>
        <w:tc>
          <w:tcPr>
            <w:tcW w:w="100" w:type="dxa"/>
            <w:vAlign w:val="bottom"/>
          </w:tcPr>
          <w:p>
            <w:pPr>
              <w:spacing w:after="0"/>
              <w:rPr>
                <w:sz w:val="23"/>
                <w:szCs w:val="23"/>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2,783,006</w:t>
            </w: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Cost of sales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1,288,651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1,290,986</w:t>
            </w:r>
          </w:p>
        </w:tc>
        <w:tc>
          <w:tcPr>
            <w:tcW w:w="0" w:type="dxa"/>
            <w:vAlign w:val="bottom"/>
          </w:tcPr>
          <w:p>
            <w:pPr>
              <w:spacing w:after="0"/>
              <w:rPr>
                <w:sz w:val="1"/>
                <w:szCs w:val="1"/>
                <w:color w:val="auto"/>
              </w:rPr>
            </w:pPr>
          </w:p>
        </w:tc>
      </w:tr>
      <w:tr>
        <w:trPr>
          <w:trHeight w:val="259"/>
        </w:trPr>
        <w:tc>
          <w:tcPr>
            <w:tcW w:w="6620" w:type="dxa"/>
            <w:vAlign w:val="bottom"/>
          </w:tcPr>
          <w:p>
            <w:pPr>
              <w:spacing w:after="0"/>
              <w:rPr>
                <w:sz w:val="20"/>
                <w:szCs w:val="20"/>
                <w:color w:val="auto"/>
              </w:rPr>
            </w:pPr>
            <w:r>
              <w:rPr>
                <w:rFonts w:ascii="Arial" w:cs="Arial" w:eastAsia="Arial" w:hAnsi="Arial"/>
                <w:sz w:val="22"/>
                <w:szCs w:val="22"/>
                <w:color w:val="auto"/>
              </w:rPr>
              <w:t>Gross profit</w:t>
            </w:r>
          </w:p>
        </w:tc>
        <w:tc>
          <w:tcPr>
            <w:tcW w:w="3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1,490,648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1,492,020</w:t>
            </w: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Operating, SG&amp;A expenses</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998,975</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944,497</w:t>
            </w:r>
          </w:p>
        </w:tc>
        <w:tc>
          <w:tcPr>
            <w:tcW w:w="0" w:type="dxa"/>
            <w:vAlign w:val="bottom"/>
          </w:tcPr>
          <w:p>
            <w:pPr>
              <w:spacing w:after="0"/>
              <w:rPr>
                <w:sz w:val="1"/>
                <w:szCs w:val="1"/>
                <w:color w:val="auto"/>
              </w:rPr>
            </w:pPr>
          </w:p>
        </w:tc>
      </w:tr>
      <w:tr>
        <w:trPr>
          <w:trHeight w:val="259"/>
        </w:trPr>
        <w:tc>
          <w:tcPr>
            <w:tcW w:w="6620" w:type="dxa"/>
            <w:vAlign w:val="bottom"/>
          </w:tcPr>
          <w:p>
            <w:pPr>
              <w:spacing w:after="0"/>
              <w:rPr>
                <w:sz w:val="20"/>
                <w:szCs w:val="20"/>
                <w:color w:val="auto"/>
              </w:rPr>
            </w:pPr>
            <w:r>
              <w:rPr>
                <w:rFonts w:ascii="Arial" w:cs="Arial" w:eastAsia="Arial" w:hAnsi="Arial"/>
                <w:sz w:val="22"/>
                <w:szCs w:val="22"/>
                <w:color w:val="auto"/>
              </w:rPr>
              <w:t>Operating profit (EBIT)</w:t>
            </w:r>
          </w:p>
        </w:tc>
        <w:tc>
          <w:tcPr>
            <w:tcW w:w="38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491,673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547,523</w:t>
            </w: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Interest expense, net</w:t>
            </w:r>
          </w:p>
        </w:tc>
        <w:tc>
          <w:tcPr>
            <w:tcW w:w="3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47,450</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43,239</w:t>
            </w:r>
          </w:p>
        </w:tc>
        <w:tc>
          <w:tcPr>
            <w:tcW w:w="0" w:type="dxa"/>
            <w:vAlign w:val="bottom"/>
          </w:tcPr>
          <w:p>
            <w:pPr>
              <w:spacing w:after="0"/>
              <w:rPr>
                <w:sz w:val="1"/>
                <w:szCs w:val="1"/>
                <w:color w:val="auto"/>
              </w:rPr>
            </w:pPr>
          </w:p>
        </w:tc>
      </w:tr>
      <w:tr>
        <w:trPr>
          <w:trHeight w:val="266"/>
        </w:trPr>
        <w:tc>
          <w:tcPr>
            <w:tcW w:w="6620" w:type="dxa"/>
            <w:vAlign w:val="bottom"/>
          </w:tcPr>
          <w:p>
            <w:pPr>
              <w:spacing w:after="0"/>
              <w:rPr>
                <w:sz w:val="20"/>
                <w:szCs w:val="20"/>
                <w:color w:val="auto"/>
              </w:rPr>
            </w:pPr>
            <w:r>
              <w:rPr>
                <w:rFonts w:ascii="Arial" w:cs="Arial" w:eastAsia="Arial" w:hAnsi="Arial"/>
                <w:sz w:val="22"/>
                <w:szCs w:val="22"/>
                <w:color w:val="auto"/>
              </w:rPr>
              <w:t>Income before taxes</w:t>
            </w: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444,223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504,284</w:t>
            </w:r>
          </w:p>
        </w:tc>
        <w:tc>
          <w:tcPr>
            <w:tcW w:w="0" w:type="dxa"/>
            <w:vAlign w:val="bottom"/>
          </w:tcPr>
          <w:p>
            <w:pPr>
              <w:spacing w:after="0"/>
              <w:rPr>
                <w:sz w:val="1"/>
                <w:szCs w:val="1"/>
                <w:color w:val="auto"/>
              </w:rPr>
            </w:pPr>
          </w:p>
        </w:tc>
      </w:tr>
      <w:tr>
        <w:trPr>
          <w:trHeight w:val="325"/>
        </w:trPr>
        <w:tc>
          <w:tcPr>
            <w:tcW w:w="6620" w:type="dxa"/>
            <w:vAlign w:val="bottom"/>
          </w:tcPr>
          <w:p>
            <w:pPr>
              <w:spacing w:after="0" w:line="324" w:lineRule="exact"/>
              <w:rPr>
                <w:sz w:val="20"/>
                <w:szCs w:val="20"/>
                <w:color w:val="auto"/>
              </w:rPr>
            </w:pPr>
            <w:r>
              <w:rPr>
                <w:rFonts w:ascii="Arial" w:cs="Arial" w:eastAsia="Arial" w:hAnsi="Arial"/>
                <w:sz w:val="22"/>
                <w:szCs w:val="22"/>
                <w:color w:val="auto"/>
              </w:rPr>
              <w:t>Income taxes</w:t>
            </w:r>
            <w:r>
              <w:rPr>
                <w:rFonts w:ascii="Arial" w:cs="Arial" w:eastAsia="Arial" w:hAnsi="Arial"/>
                <w:sz w:val="35"/>
                <w:szCs w:val="35"/>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101,327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98,335</w:t>
            </w:r>
          </w:p>
        </w:tc>
        <w:tc>
          <w:tcPr>
            <w:tcW w:w="0" w:type="dxa"/>
            <w:vAlign w:val="bottom"/>
          </w:tcPr>
          <w:p>
            <w:pPr>
              <w:spacing w:after="0"/>
              <w:rPr>
                <w:sz w:val="1"/>
                <w:szCs w:val="1"/>
                <w:color w:val="auto"/>
              </w:rPr>
            </w:pPr>
          </w:p>
        </w:tc>
      </w:tr>
      <w:tr>
        <w:trPr>
          <w:trHeight w:val="264"/>
        </w:trPr>
        <w:tc>
          <w:tcPr>
            <w:tcW w:w="6620" w:type="dxa"/>
            <w:vAlign w:val="bottom"/>
          </w:tcPr>
          <w:p>
            <w:pPr>
              <w:spacing w:after="0"/>
              <w:rPr>
                <w:sz w:val="20"/>
                <w:szCs w:val="20"/>
                <w:color w:val="auto"/>
              </w:rPr>
            </w:pPr>
            <w:r>
              <w:rPr>
                <w:rFonts w:ascii="Arial" w:cs="Arial" w:eastAsia="Arial" w:hAnsi="Arial"/>
                <w:sz w:val="22"/>
                <w:szCs w:val="22"/>
                <w:color w:val="auto"/>
              </w:rPr>
              <w:t>Net income</w:t>
            </w:r>
          </w:p>
        </w:tc>
        <w:tc>
          <w:tcPr>
            <w:tcW w:w="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342,896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405,949</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22"/>
                <w:szCs w:val="22"/>
                <w:color w:val="auto"/>
              </w:rPr>
              <w:t>Net income per share:</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66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620" w:type="dxa"/>
            <w:vAlign w:val="bottom"/>
          </w:tcPr>
          <w:p>
            <w:pPr>
              <w:ind w:left="260"/>
              <w:spacing w:after="0"/>
              <w:rPr>
                <w:sz w:val="20"/>
                <w:szCs w:val="20"/>
                <w:color w:val="auto"/>
              </w:rPr>
            </w:pPr>
            <w:r>
              <w:rPr>
                <w:rFonts w:ascii="Arial" w:cs="Arial" w:eastAsia="Arial" w:hAnsi="Arial"/>
                <w:sz w:val="22"/>
                <w:szCs w:val="22"/>
                <w:color w:val="auto"/>
              </w:rPr>
              <w:t>Basic</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14.66</w:t>
            </w:r>
          </w:p>
        </w:tc>
        <w:tc>
          <w:tcPr>
            <w:tcW w:w="100" w:type="dxa"/>
            <w:vAlign w:val="bottom"/>
          </w:tcPr>
          <w:p>
            <w:pPr>
              <w:spacing w:after="0"/>
              <w:rPr>
                <w:sz w:val="24"/>
                <w:szCs w:val="24"/>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16.35</w:t>
            </w:r>
          </w:p>
        </w:tc>
        <w:tc>
          <w:tcPr>
            <w:tcW w:w="0" w:type="dxa"/>
            <w:vAlign w:val="bottom"/>
          </w:tcPr>
          <w:p>
            <w:pPr>
              <w:spacing w:after="0"/>
              <w:rPr>
                <w:sz w:val="1"/>
                <w:szCs w:val="1"/>
                <w:color w:val="auto"/>
              </w:rPr>
            </w:pPr>
          </w:p>
        </w:tc>
      </w:tr>
      <w:tr>
        <w:trPr>
          <w:trHeight w:val="270"/>
        </w:trPr>
        <w:tc>
          <w:tcPr>
            <w:tcW w:w="6620" w:type="dxa"/>
            <w:vAlign w:val="bottom"/>
          </w:tcPr>
          <w:p>
            <w:pPr>
              <w:ind w:left="260"/>
              <w:spacing w:after="0"/>
              <w:rPr>
                <w:sz w:val="20"/>
                <w:szCs w:val="20"/>
                <w:color w:val="auto"/>
              </w:rPr>
            </w:pPr>
            <w:r>
              <w:rPr>
                <w:rFonts w:ascii="Arial" w:cs="Arial" w:eastAsia="Arial" w:hAnsi="Arial"/>
                <w:sz w:val="22"/>
                <w:szCs w:val="22"/>
                <w:color w:val="auto"/>
              </w:rPr>
              <w:t>Diluted</w:t>
            </w:r>
          </w:p>
        </w:tc>
        <w:tc>
          <w:tcPr>
            <w:tcW w:w="380" w:type="dxa"/>
            <w:vAlign w:val="bottom"/>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14.39</w:t>
            </w:r>
          </w:p>
        </w:tc>
        <w:tc>
          <w:tcPr>
            <w:tcW w:w="100" w:type="dxa"/>
            <w:vAlign w:val="bottom"/>
          </w:tcPr>
          <w:p>
            <w:pPr>
              <w:spacing w:after="0"/>
              <w:rPr>
                <w:sz w:val="23"/>
                <w:szCs w:val="23"/>
                <w:color w:val="auto"/>
              </w:rPr>
            </w:pPr>
          </w:p>
        </w:tc>
        <w:tc>
          <w:tcPr>
            <w:tcW w:w="34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Pr>
          <w:p>
            <w:pPr>
              <w:jc w:val="right"/>
              <w:spacing w:after="0"/>
              <w:rPr>
                <w:sz w:val="20"/>
                <w:szCs w:val="20"/>
                <w:color w:val="auto"/>
              </w:rPr>
            </w:pPr>
            <w:r>
              <w:rPr>
                <w:rFonts w:ascii="Arial" w:cs="Arial" w:eastAsia="Arial" w:hAnsi="Arial"/>
                <w:sz w:val="22"/>
                <w:szCs w:val="22"/>
                <w:color w:val="auto"/>
              </w:rPr>
              <w:t>15.99</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Weighted average shares outstanding:</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260"/>
              <w:spacing w:after="0"/>
              <w:rPr>
                <w:sz w:val="20"/>
                <w:szCs w:val="20"/>
                <w:color w:val="auto"/>
              </w:rPr>
            </w:pPr>
            <w:r>
              <w:rPr>
                <w:rFonts w:ascii="Arial" w:cs="Arial" w:eastAsia="Arial" w:hAnsi="Arial"/>
                <w:sz w:val="22"/>
                <w:szCs w:val="22"/>
                <w:color w:val="auto"/>
              </w:rPr>
              <w:t>Basic</w:t>
            </w: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23,386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24,836</w:t>
            </w:r>
          </w:p>
        </w:tc>
        <w:tc>
          <w:tcPr>
            <w:tcW w:w="0" w:type="dxa"/>
            <w:vAlign w:val="bottom"/>
          </w:tcPr>
          <w:p>
            <w:pPr>
              <w:spacing w:after="0"/>
              <w:rPr>
                <w:sz w:val="1"/>
                <w:szCs w:val="1"/>
                <w:color w:val="auto"/>
              </w:rPr>
            </w:pPr>
          </w:p>
        </w:tc>
      </w:tr>
      <w:tr>
        <w:trPr>
          <w:trHeight w:val="274"/>
        </w:trPr>
        <w:tc>
          <w:tcPr>
            <w:tcW w:w="6620" w:type="dxa"/>
            <w:vAlign w:val="bottom"/>
          </w:tcPr>
          <w:p>
            <w:pPr>
              <w:ind w:left="260"/>
              <w:spacing w:after="0"/>
              <w:rPr>
                <w:sz w:val="20"/>
                <w:szCs w:val="20"/>
                <w:color w:val="auto"/>
              </w:rPr>
            </w:pPr>
            <w:r>
              <w:rPr>
                <w:rFonts w:ascii="Arial" w:cs="Arial" w:eastAsia="Arial" w:hAnsi="Arial"/>
                <w:sz w:val="22"/>
                <w:szCs w:val="22"/>
                <w:color w:val="auto"/>
              </w:rPr>
              <w:t>Diluted</w:t>
            </w: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23,828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25,394</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right="1980"/>
        <w:spacing w:after="0" w:line="234" w:lineRule="auto"/>
        <w:rPr>
          <w:sz w:val="20"/>
          <w:szCs w:val="20"/>
          <w:color w:val="auto"/>
        </w:rPr>
      </w:pPr>
      <w:r>
        <w:rPr>
          <w:rFonts w:ascii="Arial" w:cs="Arial" w:eastAsia="Arial" w:hAnsi="Arial"/>
          <w:sz w:val="32"/>
          <w:szCs w:val="32"/>
          <w:i w:val="1"/>
          <w:iCs w:val="1"/>
          <w:color w:val="auto"/>
          <w:vertAlign w:val="superscript"/>
        </w:rPr>
        <w:t>(1)</w:t>
      </w:r>
      <w:r>
        <w:rPr>
          <w:rFonts w:ascii="Arial" w:cs="Arial" w:eastAsia="Arial" w:hAnsi="Arial"/>
          <w:sz w:val="20"/>
          <w:szCs w:val="20"/>
          <w:i w:val="1"/>
          <w:iCs w:val="1"/>
          <w:color w:val="auto"/>
        </w:rPr>
        <w:t>The Company's effective tax rate was 22.8% for the twelve weeks ended May 9, 2020 and 19.5% for the comparable prior year period. The twelve weeks ended May 9, 2020 and the comparable prior year period include $1.1M and $13.1M in excess tax benefits from stock option exercises, respectively.</w:t>
      </w:r>
    </w:p>
    <w:p>
      <w:pPr>
        <w:spacing w:after="0" w:line="3" w:lineRule="exact"/>
        <w:rPr>
          <w:sz w:val="20"/>
          <w:szCs w:val="20"/>
          <w:color w:val="auto"/>
        </w:rPr>
      </w:pPr>
    </w:p>
    <w:p>
      <w:pPr>
        <w:jc w:val="both"/>
        <w:ind w:right="2180"/>
        <w:spacing w:after="0"/>
        <w:rPr>
          <w:sz w:val="20"/>
          <w:szCs w:val="20"/>
          <w:color w:val="auto"/>
        </w:rPr>
      </w:pPr>
      <w:r>
        <w:rPr>
          <w:rFonts w:ascii="Arial" w:cs="Arial" w:eastAsia="Arial" w:hAnsi="Arial"/>
          <w:sz w:val="30"/>
          <w:szCs w:val="30"/>
          <w:i w:val="1"/>
          <w:iCs w:val="1"/>
          <w:color w:val="auto"/>
          <w:vertAlign w:val="superscript"/>
        </w:rPr>
        <w:t>(2)</w:t>
      </w:r>
      <w:r>
        <w:rPr>
          <w:rFonts w:ascii="Arial" w:cs="Arial" w:eastAsia="Arial" w:hAnsi="Arial"/>
          <w:sz w:val="19"/>
          <w:szCs w:val="19"/>
          <w:i w:val="1"/>
          <w:iCs w:val="1"/>
          <w:color w:val="auto"/>
        </w:rPr>
        <w:t>The twelve weeks ended May 9, 2020 was negatively impacted by the charges for Emergency Time-Off benefits and other Pandemic related expenses in response to COVID-19, approximately $75M (pre-tax).</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620" w:type="dxa"/>
            <w:vAlign w:val="bottom"/>
          </w:tcPr>
          <w:p>
            <w:pPr>
              <w:spacing w:after="0"/>
              <w:rPr>
                <w:sz w:val="20"/>
                <w:szCs w:val="20"/>
                <w:color w:val="auto"/>
              </w:rPr>
            </w:pPr>
            <w:r>
              <w:rPr>
                <w:rFonts w:ascii="Arial" w:cs="Arial" w:eastAsia="Arial" w:hAnsi="Arial"/>
                <w:sz w:val="22"/>
                <w:szCs w:val="22"/>
                <w:b w:val="1"/>
                <w:bCs w:val="1"/>
                <w:color w:val="auto"/>
              </w:rPr>
              <w:t>Year-To-Date 3rd Quarter, FY2020</w:t>
            </w:r>
          </w:p>
        </w:tc>
        <w:tc>
          <w:tcPr>
            <w:tcW w:w="280" w:type="dxa"/>
            <w:vAlign w:val="bottom"/>
          </w:tcPr>
          <w:p>
            <w:pPr>
              <w:spacing w:after="0"/>
              <w:rPr>
                <w:sz w:val="24"/>
                <w:szCs w:val="24"/>
                <w:color w:val="auto"/>
              </w:rPr>
            </w:pPr>
          </w:p>
        </w:tc>
        <w:tc>
          <w:tcPr>
            <w:tcW w:w="2760" w:type="dxa"/>
            <w:vAlign w:val="bottom"/>
            <w:gridSpan w:val="4"/>
            <w:vMerge w:val="restart"/>
          </w:tcPr>
          <w:p>
            <w:pPr>
              <w:jc w:val="right"/>
              <w:ind w:right="732"/>
              <w:spacing w:after="0"/>
              <w:rPr>
                <w:sz w:val="20"/>
                <w:szCs w:val="20"/>
                <w:color w:val="auto"/>
              </w:rPr>
            </w:pPr>
            <w:r>
              <w:rPr>
                <w:rFonts w:ascii="Arial" w:cs="Arial" w:eastAsia="Arial" w:hAnsi="Arial"/>
                <w:sz w:val="22"/>
                <w:szCs w:val="22"/>
                <w:b w:val="1"/>
                <w:bCs w:val="1"/>
                <w:color w:val="auto"/>
              </w:rPr>
              <w:t>GAAP Results</w:t>
            </w:r>
          </w:p>
        </w:tc>
        <w:tc>
          <w:tcPr>
            <w:tcW w:w="0" w:type="dxa"/>
            <w:vAlign w:val="bottom"/>
          </w:tcPr>
          <w:p>
            <w:pPr>
              <w:spacing w:after="0"/>
              <w:rPr>
                <w:sz w:val="1"/>
                <w:szCs w:val="1"/>
                <w:color w:val="auto"/>
              </w:rPr>
            </w:pPr>
          </w:p>
        </w:tc>
      </w:tr>
      <w:tr>
        <w:trPr>
          <w:trHeight w:val="276"/>
        </w:trPr>
        <w:tc>
          <w:tcPr>
            <w:tcW w:w="6620" w:type="dxa"/>
            <w:vAlign w:val="bottom"/>
          </w:tcPr>
          <w:p>
            <w:pPr>
              <w:spacing w:after="0"/>
              <w:rPr>
                <w:sz w:val="20"/>
                <w:szCs w:val="20"/>
                <w:color w:val="auto"/>
              </w:rPr>
            </w:pPr>
            <w:r>
              <w:rPr>
                <w:rFonts w:ascii="Arial" w:cs="Arial" w:eastAsia="Arial" w:hAnsi="Arial"/>
                <w:sz w:val="22"/>
                <w:szCs w:val="22"/>
                <w:color w:val="auto"/>
              </w:rPr>
              <w:t>(in thousands, except per share data)</w:t>
            </w: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center"/>
              <w:ind w:right="380"/>
              <w:spacing w:after="0" w:line="224" w:lineRule="exact"/>
              <w:rPr>
                <w:sz w:val="20"/>
                <w:szCs w:val="20"/>
                <w:color w:val="auto"/>
              </w:rPr>
            </w:pPr>
            <w:r>
              <w:rPr>
                <w:rFonts w:ascii="Arial" w:cs="Arial" w:eastAsia="Arial" w:hAnsi="Arial"/>
                <w:sz w:val="22"/>
                <w:szCs w:val="22"/>
                <w:b w:val="1"/>
                <w:bCs w:val="1"/>
                <w:color w:val="auto"/>
                <w:w w:val="85"/>
              </w:rPr>
              <w:t>36 Weeks</w:t>
            </w:r>
          </w:p>
        </w:tc>
        <w:tc>
          <w:tcPr>
            <w:tcW w:w="260" w:type="dxa"/>
            <w:vAlign w:val="bottom"/>
          </w:tcPr>
          <w:p>
            <w:pPr>
              <w:spacing w:after="0"/>
              <w:rPr>
                <w:sz w:val="19"/>
                <w:szCs w:val="19"/>
                <w:color w:val="auto"/>
              </w:rPr>
            </w:pPr>
          </w:p>
        </w:tc>
        <w:tc>
          <w:tcPr>
            <w:tcW w:w="1180" w:type="dxa"/>
            <w:vAlign w:val="bottom"/>
          </w:tcPr>
          <w:p>
            <w:pPr>
              <w:jc w:val="center"/>
              <w:ind w:right="132"/>
              <w:spacing w:after="0" w:line="224" w:lineRule="exact"/>
              <w:rPr>
                <w:sz w:val="20"/>
                <w:szCs w:val="20"/>
                <w:color w:val="auto"/>
              </w:rPr>
            </w:pPr>
            <w:r>
              <w:rPr>
                <w:rFonts w:ascii="Arial" w:cs="Arial" w:eastAsia="Arial" w:hAnsi="Arial"/>
                <w:sz w:val="22"/>
                <w:szCs w:val="22"/>
                <w:b w:val="1"/>
                <w:bCs w:val="1"/>
                <w:color w:val="auto"/>
                <w:w w:val="85"/>
              </w:rPr>
              <w:t>36 Weeks</w:t>
            </w:r>
          </w:p>
        </w:tc>
        <w:tc>
          <w:tcPr>
            <w:tcW w:w="0" w:type="dxa"/>
            <w:vAlign w:val="bottom"/>
          </w:tcPr>
          <w:p>
            <w:pPr>
              <w:spacing w:after="0"/>
              <w:rPr>
                <w:sz w:val="1"/>
                <w:szCs w:val="1"/>
                <w:color w:val="auto"/>
              </w:rPr>
            </w:pPr>
          </w:p>
        </w:tc>
      </w:tr>
      <w:tr>
        <w:trPr>
          <w:trHeight w:val="279"/>
        </w:trPr>
        <w:tc>
          <w:tcPr>
            <w:tcW w:w="6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89"/>
              </w:rPr>
              <w:t>Ended</w:t>
            </w:r>
          </w:p>
        </w:tc>
        <w:tc>
          <w:tcPr>
            <w:tcW w:w="260" w:type="dxa"/>
            <w:vAlign w:val="bottom"/>
          </w:tcPr>
          <w:p>
            <w:pPr>
              <w:spacing w:after="0"/>
              <w:rPr>
                <w:sz w:val="24"/>
                <w:szCs w:val="24"/>
                <w:color w:val="auto"/>
              </w:rPr>
            </w:pPr>
          </w:p>
        </w:tc>
        <w:tc>
          <w:tcPr>
            <w:tcW w:w="1180" w:type="dxa"/>
            <w:vAlign w:val="bottom"/>
          </w:tcPr>
          <w:p>
            <w:pPr>
              <w:jc w:val="center"/>
              <w:ind w:right="152"/>
              <w:spacing w:after="0"/>
              <w:rPr>
                <w:sz w:val="20"/>
                <w:szCs w:val="20"/>
                <w:color w:val="auto"/>
              </w:rPr>
            </w:pPr>
            <w:r>
              <w:rPr>
                <w:rFonts w:ascii="Arial" w:cs="Arial" w:eastAsia="Arial" w:hAnsi="Arial"/>
                <w:sz w:val="22"/>
                <w:szCs w:val="22"/>
                <w:b w:val="1"/>
                <w:bCs w:val="1"/>
                <w:color w:val="auto"/>
                <w:w w:val="89"/>
              </w:rPr>
              <w:t>Ended</w:t>
            </w:r>
          </w:p>
        </w:tc>
        <w:tc>
          <w:tcPr>
            <w:tcW w:w="0" w:type="dxa"/>
            <w:vAlign w:val="bottom"/>
          </w:tcPr>
          <w:p>
            <w:pPr>
              <w:spacing w:after="0"/>
              <w:rPr>
                <w:sz w:val="1"/>
                <w:szCs w:val="1"/>
                <w:color w:val="auto"/>
              </w:rPr>
            </w:pPr>
          </w:p>
        </w:tc>
      </w:tr>
      <w:tr>
        <w:trPr>
          <w:trHeight w:val="329"/>
        </w:trPr>
        <w:tc>
          <w:tcPr>
            <w:tcW w:w="6620" w:type="dxa"/>
            <w:vAlign w:val="bottom"/>
          </w:tcPr>
          <w:p>
            <w:pPr>
              <w:spacing w:after="0"/>
              <w:rPr>
                <w:sz w:val="24"/>
                <w:szCs w:val="24"/>
                <w:color w:val="auto"/>
              </w:rPr>
            </w:pPr>
          </w:p>
        </w:tc>
        <w:tc>
          <w:tcPr>
            <w:tcW w:w="1600" w:type="dxa"/>
            <w:vAlign w:val="bottom"/>
            <w:gridSpan w:val="3"/>
          </w:tcPr>
          <w:p>
            <w:pPr>
              <w:jc w:val="center"/>
              <w:ind w:right="100"/>
              <w:spacing w:after="0" w:line="329" w:lineRule="exact"/>
              <w:rPr>
                <w:sz w:val="20"/>
                <w:szCs w:val="20"/>
                <w:color w:val="auto"/>
              </w:rPr>
            </w:pPr>
            <w:r>
              <w:rPr>
                <w:rFonts w:ascii="Arial" w:cs="Arial" w:eastAsia="Arial" w:hAnsi="Arial"/>
                <w:sz w:val="22"/>
                <w:szCs w:val="22"/>
                <w:b w:val="1"/>
                <w:bCs w:val="1"/>
                <w:color w:val="auto"/>
                <w:w w:val="88"/>
              </w:rPr>
              <w:t>May 9, 2020</w:t>
            </w:r>
            <w:r>
              <w:rPr>
                <w:rFonts w:ascii="Arial" w:cs="Arial" w:eastAsia="Arial" w:hAnsi="Arial"/>
                <w:sz w:val="35"/>
                <w:szCs w:val="35"/>
                <w:b w:val="1"/>
                <w:bCs w:val="1"/>
                <w:color w:val="auto"/>
                <w:w w:val="88"/>
                <w:vertAlign w:val="superscript"/>
              </w:rPr>
              <w:t>(2)</w:t>
            </w: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91"/>
              </w:rPr>
              <w:t>May 4, 2019</w:t>
            </w:r>
          </w:p>
        </w:tc>
        <w:tc>
          <w:tcPr>
            <w:tcW w:w="0" w:type="dxa"/>
            <w:vAlign w:val="bottom"/>
          </w:tcPr>
          <w:p>
            <w:pPr>
              <w:spacing w:after="0"/>
              <w:rPr>
                <w:sz w:val="1"/>
                <w:szCs w:val="1"/>
                <w:color w:val="auto"/>
              </w:rPr>
            </w:pPr>
          </w:p>
        </w:tc>
      </w:tr>
      <w:tr>
        <w:trPr>
          <w:trHeight w:val="526"/>
        </w:trPr>
        <w:tc>
          <w:tcPr>
            <w:tcW w:w="6620" w:type="dxa"/>
            <w:vAlign w:val="bottom"/>
          </w:tcPr>
          <w:p>
            <w:pPr>
              <w:spacing w:after="0"/>
              <w:rPr>
                <w:sz w:val="20"/>
                <w:szCs w:val="20"/>
                <w:color w:val="auto"/>
              </w:rPr>
            </w:pPr>
            <w:r>
              <w:rPr>
                <w:rFonts w:ascii="Arial" w:cs="Arial" w:eastAsia="Arial" w:hAnsi="Arial"/>
                <w:sz w:val="22"/>
                <w:szCs w:val="22"/>
                <w:color w:val="auto"/>
              </w:rPr>
              <w:t>Net sales</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8,085,999</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7,875,307</w:t>
            </w: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Cost of sales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3,728,221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3,640,706</w:t>
            </w:r>
          </w:p>
        </w:tc>
        <w:tc>
          <w:tcPr>
            <w:tcW w:w="0" w:type="dxa"/>
            <w:vAlign w:val="bottom"/>
          </w:tcPr>
          <w:p>
            <w:pPr>
              <w:spacing w:after="0"/>
              <w:rPr>
                <w:sz w:val="1"/>
                <w:szCs w:val="1"/>
                <w:color w:val="auto"/>
              </w:rPr>
            </w:pPr>
          </w:p>
        </w:tc>
      </w:tr>
      <w:tr>
        <w:trPr>
          <w:trHeight w:val="259"/>
        </w:trPr>
        <w:tc>
          <w:tcPr>
            <w:tcW w:w="6620" w:type="dxa"/>
            <w:vAlign w:val="bottom"/>
          </w:tcPr>
          <w:p>
            <w:pPr>
              <w:spacing w:after="0"/>
              <w:rPr>
                <w:sz w:val="20"/>
                <w:szCs w:val="20"/>
                <w:color w:val="auto"/>
              </w:rPr>
            </w:pPr>
            <w:r>
              <w:rPr>
                <w:rFonts w:ascii="Arial" w:cs="Arial" w:eastAsia="Arial" w:hAnsi="Arial"/>
                <w:sz w:val="22"/>
                <w:szCs w:val="22"/>
                <w:color w:val="auto"/>
              </w:rPr>
              <w:t>Gross profit</w:t>
            </w:r>
          </w:p>
        </w:tc>
        <w:tc>
          <w:tcPr>
            <w:tcW w:w="2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4,357,778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4,234,601</w:t>
            </w: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Operating, SG&amp;A expenses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2,958,144</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2,799,239</w:t>
            </w:r>
          </w:p>
        </w:tc>
        <w:tc>
          <w:tcPr>
            <w:tcW w:w="0" w:type="dxa"/>
            <w:vAlign w:val="bottom"/>
          </w:tcPr>
          <w:p>
            <w:pPr>
              <w:spacing w:after="0"/>
              <w:rPr>
                <w:sz w:val="1"/>
                <w:szCs w:val="1"/>
                <w:color w:val="auto"/>
              </w:rPr>
            </w:pPr>
          </w:p>
        </w:tc>
      </w:tr>
      <w:tr>
        <w:trPr>
          <w:trHeight w:val="259"/>
        </w:trPr>
        <w:tc>
          <w:tcPr>
            <w:tcW w:w="6620" w:type="dxa"/>
            <w:vAlign w:val="bottom"/>
          </w:tcPr>
          <w:p>
            <w:pPr>
              <w:spacing w:after="0"/>
              <w:rPr>
                <w:sz w:val="20"/>
                <w:szCs w:val="20"/>
                <w:color w:val="auto"/>
              </w:rPr>
            </w:pPr>
            <w:r>
              <w:rPr>
                <w:rFonts w:ascii="Arial" w:cs="Arial" w:eastAsia="Arial" w:hAnsi="Arial"/>
                <w:sz w:val="22"/>
                <w:szCs w:val="22"/>
                <w:color w:val="auto"/>
              </w:rPr>
              <w:t>Operating profit (EBIT)</w:t>
            </w:r>
          </w:p>
        </w:tc>
        <w:tc>
          <w:tcPr>
            <w:tcW w:w="28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1,399,634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1,435,362</w:t>
            </w: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Interest expense, net</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135,528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123,608</w:t>
            </w:r>
          </w:p>
        </w:tc>
        <w:tc>
          <w:tcPr>
            <w:tcW w:w="0" w:type="dxa"/>
            <w:vAlign w:val="bottom"/>
          </w:tcPr>
          <w:p>
            <w:pPr>
              <w:spacing w:after="0"/>
              <w:rPr>
                <w:sz w:val="1"/>
                <w:szCs w:val="1"/>
                <w:color w:val="auto"/>
              </w:rPr>
            </w:pPr>
          </w:p>
        </w:tc>
      </w:tr>
      <w:tr>
        <w:trPr>
          <w:trHeight w:val="266"/>
        </w:trPr>
        <w:tc>
          <w:tcPr>
            <w:tcW w:w="6620" w:type="dxa"/>
            <w:vAlign w:val="bottom"/>
          </w:tcPr>
          <w:p>
            <w:pPr>
              <w:spacing w:after="0"/>
              <w:rPr>
                <w:sz w:val="20"/>
                <w:szCs w:val="20"/>
                <w:color w:val="auto"/>
              </w:rPr>
            </w:pPr>
            <w:r>
              <w:rPr>
                <w:rFonts w:ascii="Arial" w:cs="Arial" w:eastAsia="Arial" w:hAnsi="Arial"/>
                <w:sz w:val="22"/>
                <w:szCs w:val="22"/>
                <w:color w:val="auto"/>
              </w:rPr>
              <w:t>Income before taxes</w:t>
            </w:r>
          </w:p>
        </w:tc>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1,264,106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1,311,754</w:t>
            </w:r>
          </w:p>
        </w:tc>
        <w:tc>
          <w:tcPr>
            <w:tcW w:w="0" w:type="dxa"/>
            <w:vAlign w:val="bottom"/>
          </w:tcPr>
          <w:p>
            <w:pPr>
              <w:spacing w:after="0"/>
              <w:rPr>
                <w:sz w:val="1"/>
                <w:szCs w:val="1"/>
                <w:color w:val="auto"/>
              </w:rPr>
            </w:pPr>
          </w:p>
        </w:tc>
      </w:tr>
      <w:tr>
        <w:trPr>
          <w:trHeight w:val="325"/>
        </w:trPr>
        <w:tc>
          <w:tcPr>
            <w:tcW w:w="6620" w:type="dxa"/>
            <w:vAlign w:val="bottom"/>
          </w:tcPr>
          <w:p>
            <w:pPr>
              <w:spacing w:after="0" w:line="324" w:lineRule="exact"/>
              <w:rPr>
                <w:sz w:val="20"/>
                <w:szCs w:val="20"/>
                <w:color w:val="auto"/>
              </w:rPr>
            </w:pPr>
            <w:r>
              <w:rPr>
                <w:rFonts w:ascii="Arial" w:cs="Arial" w:eastAsia="Arial" w:hAnsi="Arial"/>
                <w:sz w:val="22"/>
                <w:szCs w:val="22"/>
                <w:color w:val="auto"/>
              </w:rPr>
              <w:t>Income taxes</w:t>
            </w:r>
            <w:r>
              <w:rPr>
                <w:rFonts w:ascii="Arial" w:cs="Arial" w:eastAsia="Arial" w:hAnsi="Arial"/>
                <w:sz w:val="35"/>
                <w:szCs w:val="3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271,591</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259,762</w:t>
            </w:r>
          </w:p>
        </w:tc>
        <w:tc>
          <w:tcPr>
            <w:tcW w:w="0" w:type="dxa"/>
            <w:vAlign w:val="bottom"/>
          </w:tcPr>
          <w:p>
            <w:pPr>
              <w:spacing w:after="0"/>
              <w:rPr>
                <w:sz w:val="1"/>
                <w:szCs w:val="1"/>
                <w:color w:val="auto"/>
              </w:rPr>
            </w:pPr>
          </w:p>
        </w:tc>
      </w:tr>
      <w:tr>
        <w:trPr>
          <w:trHeight w:val="263"/>
        </w:trPr>
        <w:tc>
          <w:tcPr>
            <w:tcW w:w="6620" w:type="dxa"/>
            <w:vAlign w:val="bottom"/>
          </w:tcPr>
          <w:p>
            <w:pPr>
              <w:spacing w:after="0"/>
              <w:rPr>
                <w:sz w:val="20"/>
                <w:szCs w:val="20"/>
                <w:color w:val="auto"/>
              </w:rPr>
            </w:pPr>
            <w:r>
              <w:rPr>
                <w:rFonts w:ascii="Arial" w:cs="Arial" w:eastAsia="Arial" w:hAnsi="Arial"/>
                <w:sz w:val="22"/>
                <w:szCs w:val="22"/>
                <w:color w:val="auto"/>
              </w:rPr>
              <w:t>Net income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992,515</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1,051,992</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22"/>
                <w:szCs w:val="22"/>
                <w:color w:val="auto"/>
              </w:rPr>
              <w:t>Net income per share:</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66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6620" w:type="dxa"/>
            <w:vAlign w:val="bottom"/>
          </w:tcPr>
          <w:p>
            <w:pPr>
              <w:ind w:left="260"/>
              <w:spacing w:after="0"/>
              <w:rPr>
                <w:sz w:val="20"/>
                <w:szCs w:val="20"/>
                <w:color w:val="auto"/>
              </w:rPr>
            </w:pPr>
            <w:r>
              <w:rPr>
                <w:rFonts w:ascii="Arial" w:cs="Arial" w:eastAsia="Arial" w:hAnsi="Arial"/>
                <w:sz w:val="22"/>
                <w:szCs w:val="22"/>
                <w:color w:val="auto"/>
              </w:rPr>
              <w:t>Basic</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42.04</w:t>
            </w:r>
          </w:p>
        </w:tc>
        <w:tc>
          <w:tcPr>
            <w:tcW w:w="1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41.73</w:t>
            </w:r>
          </w:p>
        </w:tc>
        <w:tc>
          <w:tcPr>
            <w:tcW w:w="0" w:type="dxa"/>
            <w:vAlign w:val="bottom"/>
          </w:tcPr>
          <w:p>
            <w:pPr>
              <w:spacing w:after="0"/>
              <w:rPr>
                <w:sz w:val="1"/>
                <w:szCs w:val="1"/>
                <w:color w:val="auto"/>
              </w:rPr>
            </w:pPr>
          </w:p>
        </w:tc>
      </w:tr>
      <w:tr>
        <w:trPr>
          <w:trHeight w:val="270"/>
        </w:trPr>
        <w:tc>
          <w:tcPr>
            <w:tcW w:w="6620" w:type="dxa"/>
            <w:vAlign w:val="bottom"/>
          </w:tcPr>
          <w:p>
            <w:pPr>
              <w:ind w:left="260"/>
              <w:spacing w:after="0"/>
              <w:rPr>
                <w:sz w:val="20"/>
                <w:szCs w:val="20"/>
                <w:color w:val="auto"/>
              </w:rPr>
            </w:pPr>
            <w:r>
              <w:rPr>
                <w:rFonts w:ascii="Arial" w:cs="Arial" w:eastAsia="Arial" w:hAnsi="Arial"/>
                <w:sz w:val="22"/>
                <w:szCs w:val="22"/>
                <w:color w:val="auto"/>
              </w:rPr>
              <w:t>Diluted</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41.08</w:t>
            </w:r>
          </w:p>
        </w:tc>
        <w:tc>
          <w:tcPr>
            <w:tcW w:w="1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spacing w:after="0"/>
              <w:rPr>
                <w:sz w:val="20"/>
                <w:szCs w:val="20"/>
                <w:color w:val="auto"/>
              </w:rPr>
            </w:pPr>
            <w:r>
              <w:rPr>
                <w:rFonts w:ascii="Arial" w:cs="Arial" w:eastAsia="Arial" w:hAnsi="Arial"/>
                <w:sz w:val="22"/>
                <w:szCs w:val="22"/>
                <w:color w:val="auto"/>
              </w:rPr>
              <w:t>40.92</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Weighted average shares outstanding:</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260"/>
              <w:spacing w:after="0"/>
              <w:rPr>
                <w:sz w:val="20"/>
                <w:szCs w:val="20"/>
                <w:color w:val="auto"/>
              </w:rPr>
            </w:pPr>
            <w:r>
              <w:rPr>
                <w:rFonts w:ascii="Arial" w:cs="Arial" w:eastAsia="Arial" w:hAnsi="Arial"/>
                <w:sz w:val="22"/>
                <w:szCs w:val="22"/>
                <w:color w:val="auto"/>
              </w:rPr>
              <w:t>Basic</w:t>
            </w:r>
          </w:p>
        </w:tc>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23,610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25,210</w:t>
            </w:r>
          </w:p>
        </w:tc>
        <w:tc>
          <w:tcPr>
            <w:tcW w:w="0" w:type="dxa"/>
            <w:vAlign w:val="bottom"/>
          </w:tcPr>
          <w:p>
            <w:pPr>
              <w:spacing w:after="0"/>
              <w:rPr>
                <w:sz w:val="1"/>
                <w:szCs w:val="1"/>
                <w:color w:val="auto"/>
              </w:rPr>
            </w:pPr>
          </w:p>
        </w:tc>
      </w:tr>
      <w:tr>
        <w:trPr>
          <w:trHeight w:val="274"/>
        </w:trPr>
        <w:tc>
          <w:tcPr>
            <w:tcW w:w="6620" w:type="dxa"/>
            <w:vAlign w:val="bottom"/>
          </w:tcPr>
          <w:p>
            <w:pPr>
              <w:ind w:left="260"/>
              <w:spacing w:after="0"/>
              <w:rPr>
                <w:sz w:val="20"/>
                <w:szCs w:val="20"/>
                <w:color w:val="auto"/>
              </w:rPr>
            </w:pPr>
            <w:r>
              <w:rPr>
                <w:rFonts w:ascii="Arial" w:cs="Arial" w:eastAsia="Arial" w:hAnsi="Arial"/>
                <w:sz w:val="22"/>
                <w:szCs w:val="22"/>
                <w:color w:val="auto"/>
              </w:rPr>
              <w:t>Diluted</w:t>
            </w:r>
          </w:p>
        </w:tc>
        <w:tc>
          <w:tcPr>
            <w:tcW w:w="2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22"/>
                <w:szCs w:val="22"/>
                <w:color w:val="auto"/>
              </w:rPr>
              <w:t>24,160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22"/>
                <w:szCs w:val="22"/>
                <w:color w:val="auto"/>
              </w:rPr>
              <w:t>25,711</w:t>
            </w: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ind w:right="1760"/>
        <w:spacing w:after="0" w:line="234" w:lineRule="auto"/>
        <w:rPr>
          <w:sz w:val="20"/>
          <w:szCs w:val="20"/>
          <w:color w:val="auto"/>
        </w:rPr>
      </w:pPr>
      <w:r>
        <w:rPr>
          <w:rFonts w:ascii="Arial" w:cs="Arial" w:eastAsia="Arial" w:hAnsi="Arial"/>
          <w:sz w:val="32"/>
          <w:szCs w:val="32"/>
          <w:i w:val="1"/>
          <w:iCs w:val="1"/>
          <w:color w:val="auto"/>
          <w:vertAlign w:val="superscript"/>
        </w:rPr>
        <w:t>(1)</w:t>
      </w:r>
      <w:r>
        <w:rPr>
          <w:rFonts w:ascii="Arial" w:cs="Arial" w:eastAsia="Arial" w:hAnsi="Arial"/>
          <w:sz w:val="20"/>
          <w:szCs w:val="20"/>
          <w:i w:val="1"/>
          <w:iCs w:val="1"/>
          <w:color w:val="auto"/>
        </w:rPr>
        <w:t>The Company's effective tax rate was 21.5% for the thirty-six weeks ended May 9, 2020 and 19.8% for the comparable prior year period. The thirty-six weeks ended May 9, 2020 and the comparable prior year period include $17.6M and $38.2M in excess tax benefits from stock option exercises, respectively.</w:t>
      </w:r>
    </w:p>
    <w:p>
      <w:pPr>
        <w:spacing w:after="0" w:line="3" w:lineRule="exact"/>
        <w:rPr>
          <w:sz w:val="20"/>
          <w:szCs w:val="20"/>
          <w:color w:val="auto"/>
        </w:rPr>
      </w:pPr>
    </w:p>
    <w:p>
      <w:pPr>
        <w:ind w:right="1940"/>
        <w:spacing w:after="0" w:line="213" w:lineRule="auto"/>
        <w:rPr>
          <w:sz w:val="20"/>
          <w:szCs w:val="20"/>
          <w:color w:val="auto"/>
        </w:rPr>
      </w:pPr>
      <w:r>
        <w:rPr>
          <w:rFonts w:ascii="Arial" w:cs="Arial" w:eastAsia="Arial" w:hAnsi="Arial"/>
          <w:sz w:val="35"/>
          <w:szCs w:val="35"/>
          <w:i w:val="1"/>
          <w:iCs w:val="1"/>
          <w:color w:val="auto"/>
          <w:vertAlign w:val="superscript"/>
        </w:rPr>
        <w:t>(2)</w:t>
      </w:r>
      <w:r>
        <w:rPr>
          <w:rFonts w:ascii="Arial" w:cs="Arial" w:eastAsia="Arial" w:hAnsi="Arial"/>
          <w:sz w:val="22"/>
          <w:szCs w:val="22"/>
          <w:i w:val="1"/>
          <w:iCs w:val="1"/>
          <w:color w:val="auto"/>
        </w:rPr>
        <w:t>The thirty-six weeks ended May 9, 2020 was negatively impacted by the charges for Emergency Time-Off benefits and other Pandemic related expenses in response to COVID-19, approximately $75M (pre-tax), recognized in the third quarter.</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620" w:type="dxa"/>
            <w:vAlign w:val="bottom"/>
          </w:tcPr>
          <w:p>
            <w:pPr>
              <w:spacing w:after="0"/>
              <w:rPr>
                <w:sz w:val="20"/>
                <w:szCs w:val="20"/>
                <w:color w:val="auto"/>
              </w:rPr>
            </w:pPr>
            <w:r>
              <w:rPr>
                <w:rFonts w:ascii="Arial" w:cs="Arial" w:eastAsia="Arial" w:hAnsi="Arial"/>
                <w:sz w:val="22"/>
                <w:szCs w:val="22"/>
                <w:b w:val="1"/>
                <w:bCs w:val="1"/>
                <w:color w:val="auto"/>
              </w:rPr>
              <w:t>Selected Balance Sheet Information</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(in thousands)</w:t>
            </w: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vMerge w:val="restart"/>
          </w:tcPr>
          <w:p>
            <w:pPr>
              <w:jc w:val="right"/>
              <w:ind w:right="132"/>
              <w:spacing w:after="0"/>
              <w:rPr>
                <w:sz w:val="20"/>
                <w:szCs w:val="20"/>
                <w:color w:val="auto"/>
              </w:rPr>
            </w:pPr>
            <w:r>
              <w:rPr>
                <w:rFonts w:ascii="Arial" w:cs="Arial" w:eastAsia="Arial" w:hAnsi="Arial"/>
                <w:sz w:val="22"/>
                <w:szCs w:val="22"/>
                <w:b w:val="1"/>
                <w:bCs w:val="1"/>
                <w:color w:val="auto"/>
                <w:w w:val="85"/>
              </w:rPr>
              <w:t>August 31,</w:t>
            </w:r>
          </w:p>
        </w:tc>
        <w:tc>
          <w:tcPr>
            <w:tcW w:w="0" w:type="dxa"/>
            <w:vAlign w:val="bottom"/>
          </w:tcPr>
          <w:p>
            <w:pPr>
              <w:spacing w:after="0"/>
              <w:rPr>
                <w:sz w:val="1"/>
                <w:szCs w:val="1"/>
                <w:color w:val="auto"/>
              </w:rPr>
            </w:pPr>
          </w:p>
        </w:tc>
      </w:tr>
      <w:tr>
        <w:trPr>
          <w:trHeight w:val="233"/>
        </w:trPr>
        <w:tc>
          <w:tcPr>
            <w:tcW w:w="6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6620" w:type="dxa"/>
            <w:vAlign w:val="bottom"/>
            <w:vMerge w:val="restart"/>
          </w:tcPr>
          <w:p>
            <w:pPr>
              <w:spacing w:after="0"/>
              <w:rPr>
                <w:sz w:val="20"/>
                <w:szCs w:val="20"/>
                <w:color w:val="auto"/>
              </w:rPr>
            </w:pPr>
            <w:r>
              <w:rPr>
                <w:rFonts w:ascii="Arial" w:cs="Arial" w:eastAsia="Arial" w:hAnsi="Arial"/>
                <w:sz w:val="22"/>
                <w:szCs w:val="22"/>
                <w:color w:val="auto"/>
              </w:rPr>
              <w:t>Cash and cash equivalents</w:t>
            </w:r>
          </w:p>
        </w:tc>
        <w:tc>
          <w:tcPr>
            <w:tcW w:w="1600" w:type="dxa"/>
            <w:vAlign w:val="bottom"/>
            <w:gridSpan w:val="3"/>
          </w:tcPr>
          <w:p>
            <w:pPr>
              <w:ind w:left="200"/>
              <w:spacing w:after="0"/>
              <w:rPr>
                <w:sz w:val="20"/>
                <w:szCs w:val="20"/>
                <w:color w:val="auto"/>
              </w:rPr>
            </w:pPr>
            <w:r>
              <w:rPr>
                <w:rFonts w:ascii="Arial" w:cs="Arial" w:eastAsia="Arial" w:hAnsi="Arial"/>
                <w:sz w:val="22"/>
                <w:szCs w:val="22"/>
                <w:b w:val="1"/>
                <w:bCs w:val="1"/>
                <w:color w:val="auto"/>
              </w:rPr>
              <w:t>May 9, 2020</w:t>
            </w:r>
          </w:p>
        </w:tc>
        <w:tc>
          <w:tcPr>
            <w:tcW w:w="1560" w:type="dxa"/>
            <w:vAlign w:val="bottom"/>
            <w:gridSpan w:val="3"/>
          </w:tcPr>
          <w:p>
            <w:pPr>
              <w:ind w:left="160"/>
              <w:spacing w:after="0"/>
              <w:rPr>
                <w:sz w:val="20"/>
                <w:szCs w:val="20"/>
                <w:color w:val="auto"/>
              </w:rPr>
            </w:pPr>
            <w:r>
              <w:rPr>
                <w:rFonts w:ascii="Arial" w:cs="Arial" w:eastAsia="Arial" w:hAnsi="Arial"/>
                <w:sz w:val="22"/>
                <w:szCs w:val="22"/>
                <w:b w:val="1"/>
                <w:bCs w:val="1"/>
                <w:color w:val="auto"/>
              </w:rPr>
              <w:t>May 4, 2019</w:t>
            </w:r>
          </w:p>
        </w:tc>
        <w:tc>
          <w:tcPr>
            <w:tcW w:w="220" w:type="dxa"/>
            <w:vAlign w:val="bottom"/>
          </w:tcPr>
          <w:p>
            <w:pPr>
              <w:spacing w:after="0"/>
              <w:rPr>
                <w:sz w:val="24"/>
                <w:szCs w:val="24"/>
                <w:color w:val="auto"/>
              </w:rPr>
            </w:pPr>
          </w:p>
        </w:tc>
        <w:tc>
          <w:tcPr>
            <w:tcW w:w="1220" w:type="dxa"/>
            <w:vAlign w:val="bottom"/>
          </w:tcPr>
          <w:p>
            <w:pPr>
              <w:jc w:val="right"/>
              <w:ind w:right="392"/>
              <w:spacing w:after="0"/>
              <w:rPr>
                <w:sz w:val="20"/>
                <w:szCs w:val="20"/>
                <w:color w:val="auto"/>
              </w:rPr>
            </w:pPr>
            <w:r>
              <w:rPr>
                <w:rFonts w:ascii="Arial" w:cs="Arial" w:eastAsia="Arial" w:hAnsi="Arial"/>
                <w:sz w:val="22"/>
                <w:szCs w:val="22"/>
                <w:b w:val="1"/>
                <w:bCs w:val="1"/>
                <w:color w:val="auto"/>
              </w:rPr>
              <w:t>2019</w:t>
            </w:r>
          </w:p>
        </w:tc>
        <w:tc>
          <w:tcPr>
            <w:tcW w:w="0" w:type="dxa"/>
            <w:vAlign w:val="bottom"/>
          </w:tcPr>
          <w:p>
            <w:pPr>
              <w:spacing w:after="0"/>
              <w:rPr>
                <w:sz w:val="1"/>
                <w:szCs w:val="1"/>
                <w:color w:val="auto"/>
              </w:rPr>
            </w:pPr>
          </w:p>
        </w:tc>
      </w:tr>
      <w:tr>
        <w:trPr>
          <w:trHeight w:val="257"/>
        </w:trPr>
        <w:tc>
          <w:tcPr>
            <w:tcW w:w="6620" w:type="dxa"/>
            <w:vAlign w:val="bottom"/>
            <w:vMerge w:val="continue"/>
          </w:tcPr>
          <w:p>
            <w:pPr>
              <w:spacing w:after="0"/>
              <w:rPr>
                <w:sz w:val="22"/>
                <w:szCs w:val="22"/>
                <w:color w:val="auto"/>
              </w:rPr>
            </w:pPr>
          </w:p>
        </w:tc>
        <w:tc>
          <w:tcPr>
            <w:tcW w:w="380" w:type="dxa"/>
            <w:vAlign w:val="bottom"/>
            <w:tcBorders>
              <w:top w:val="single" w:sz="8" w:color="auto"/>
            </w:tcBorders>
          </w:tcPr>
          <w:p>
            <w:pPr>
              <w:jc w:val="right"/>
              <w:ind w:right="32"/>
              <w:spacing w:after="0"/>
              <w:rPr>
                <w:sz w:val="20"/>
                <w:szCs w:val="20"/>
                <w:color w:val="auto"/>
              </w:rPr>
            </w:pPr>
            <w:r>
              <w:rPr>
                <w:rFonts w:ascii="Arial" w:cs="Arial" w:eastAsia="Arial" w:hAnsi="Arial"/>
                <w:sz w:val="22"/>
                <w:szCs w:val="22"/>
                <w:color w:val="auto"/>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509,118</w:t>
            </w:r>
          </w:p>
        </w:tc>
        <w:tc>
          <w:tcPr>
            <w:tcW w:w="100" w:type="dxa"/>
            <w:vAlign w:val="bottom"/>
          </w:tcPr>
          <w:p>
            <w:pPr>
              <w:spacing w:after="0"/>
              <w:rPr>
                <w:sz w:val="22"/>
                <w:szCs w:val="22"/>
                <w:color w:val="auto"/>
              </w:rPr>
            </w:pPr>
          </w:p>
        </w:tc>
        <w:tc>
          <w:tcPr>
            <w:tcW w:w="34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174,058</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176,300</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Merchandise inventories</w:t>
            </w: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4,440,602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4,325,659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4,319,113</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22"/>
                <w:szCs w:val="22"/>
                <w:color w:val="auto"/>
              </w:rPr>
              <w:t>Current Assets</w:t>
            </w: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5,397,993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4,971,340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5,028,685</w:t>
            </w:r>
          </w:p>
        </w:tc>
        <w:tc>
          <w:tcPr>
            <w:tcW w:w="0" w:type="dxa"/>
            <w:vAlign w:val="bottom"/>
          </w:tcPr>
          <w:p>
            <w:pPr>
              <w:spacing w:after="0"/>
              <w:rPr>
                <w:sz w:val="1"/>
                <w:szCs w:val="1"/>
                <w:color w:val="auto"/>
              </w:rPr>
            </w:pPr>
          </w:p>
        </w:tc>
      </w:tr>
      <w:tr>
        <w:trPr>
          <w:trHeight w:val="274"/>
        </w:trPr>
        <w:tc>
          <w:tcPr>
            <w:tcW w:w="6620" w:type="dxa"/>
            <w:vAlign w:val="bottom"/>
          </w:tcPr>
          <w:p>
            <w:pPr>
              <w:spacing w:after="0"/>
              <w:rPr>
                <w:sz w:val="20"/>
                <w:szCs w:val="20"/>
                <w:color w:val="auto"/>
              </w:rPr>
            </w:pPr>
            <w:r>
              <w:rPr>
                <w:rFonts w:ascii="Arial" w:cs="Arial" w:eastAsia="Arial" w:hAnsi="Arial"/>
                <w:sz w:val="22"/>
                <w:szCs w:val="22"/>
                <w:color w:val="auto"/>
              </w:rPr>
              <w:t>Property and equipment, net</w:t>
            </w:r>
          </w:p>
        </w:tc>
        <w:tc>
          <w:tcPr>
            <w:tcW w:w="38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22"/>
                <w:szCs w:val="22"/>
                <w:color w:val="auto"/>
              </w:rPr>
              <w:t>4,384,586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4,324,930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4,398,751</w:t>
            </w:r>
          </w:p>
        </w:tc>
        <w:tc>
          <w:tcPr>
            <w:tcW w:w="0" w:type="dxa"/>
            <w:vAlign w:val="bottom"/>
          </w:tcPr>
          <w:p>
            <w:pPr>
              <w:spacing w:after="0"/>
              <w:rPr>
                <w:sz w:val="1"/>
                <w:szCs w:val="1"/>
                <w:color w:val="auto"/>
              </w:rPr>
            </w:pPr>
          </w:p>
        </w:tc>
      </w:tr>
    </w:tbl>
    <w:p>
      <w:pPr>
        <w:sectPr>
          <w:pgSz w:w="11900" w:h="16914" w:orient="portrait"/>
          <w:cols w:equalWidth="0" w:num="1">
            <w:col w:w="11220"/>
          </w:cols>
          <w:pgMar w:left="340" w:top="388"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Operating lease right-of-use assets</w:t>
            </w:r>
          </w:p>
        </w:tc>
        <w:tc>
          <w:tcPr>
            <w:tcW w:w="2840" w:type="dxa"/>
            <w:vAlign w:val="bottom"/>
          </w:tcPr>
          <w:p>
            <w:pPr>
              <w:jc w:val="right"/>
              <w:ind w:right="232"/>
              <w:spacing w:after="0"/>
              <w:rPr>
                <w:sz w:val="20"/>
                <w:szCs w:val="20"/>
                <w:color w:val="auto"/>
              </w:rPr>
            </w:pPr>
            <w:r>
              <w:rPr>
                <w:rFonts w:ascii="Arial" w:cs="Arial" w:eastAsia="Arial" w:hAnsi="Arial"/>
                <w:sz w:val="22"/>
                <w:szCs w:val="22"/>
                <w:color w:val="auto"/>
              </w:rPr>
              <w:t>2,613,849</w:t>
            </w:r>
          </w:p>
        </w:tc>
        <w:tc>
          <w:tcPr>
            <w:tcW w:w="156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Total Assets</w:t>
            </w:r>
          </w:p>
        </w:tc>
        <w:tc>
          <w:tcPr>
            <w:tcW w:w="2840" w:type="dxa"/>
            <w:vAlign w:val="bottom"/>
          </w:tcPr>
          <w:p>
            <w:pPr>
              <w:jc w:val="right"/>
              <w:ind w:right="232"/>
              <w:spacing w:after="0"/>
              <w:rPr>
                <w:sz w:val="20"/>
                <w:szCs w:val="20"/>
                <w:color w:val="auto"/>
              </w:rPr>
            </w:pPr>
            <w:r>
              <w:rPr>
                <w:rFonts w:ascii="Arial" w:cs="Arial" w:eastAsia="Arial" w:hAnsi="Arial"/>
                <w:sz w:val="22"/>
                <w:szCs w:val="22"/>
                <w:color w:val="auto"/>
              </w:rPr>
              <w:t>12,902,131</w:t>
            </w:r>
          </w:p>
        </w:tc>
        <w:tc>
          <w:tcPr>
            <w:tcW w:w="1560" w:type="dxa"/>
            <w:vAlign w:val="bottom"/>
          </w:tcPr>
          <w:p>
            <w:pPr>
              <w:jc w:val="right"/>
              <w:ind w:right="232"/>
              <w:spacing w:after="0"/>
              <w:rPr>
                <w:sz w:val="20"/>
                <w:szCs w:val="20"/>
                <w:color w:val="auto"/>
              </w:rPr>
            </w:pPr>
            <w:r>
              <w:rPr>
                <w:rFonts w:ascii="Arial" w:cs="Arial" w:eastAsia="Arial" w:hAnsi="Arial"/>
                <w:sz w:val="22"/>
                <w:szCs w:val="22"/>
                <w:color w:val="auto"/>
              </w:rPr>
              <w:t>9,773,740</w:t>
            </w:r>
          </w:p>
        </w:tc>
        <w:tc>
          <w:tcPr>
            <w:tcW w:w="1280" w:type="dxa"/>
            <w:vAlign w:val="bottom"/>
          </w:tcPr>
          <w:p>
            <w:pPr>
              <w:jc w:val="right"/>
              <w:spacing w:after="0"/>
              <w:rPr>
                <w:sz w:val="20"/>
                <w:szCs w:val="20"/>
                <w:color w:val="auto"/>
              </w:rPr>
            </w:pPr>
            <w:r>
              <w:rPr>
                <w:rFonts w:ascii="Arial" w:cs="Arial" w:eastAsia="Arial" w:hAnsi="Arial"/>
                <w:sz w:val="22"/>
                <w:szCs w:val="22"/>
                <w:color w:val="auto"/>
              </w:rPr>
              <w:t>9,895,913</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Accounts payable</w:t>
            </w:r>
          </w:p>
        </w:tc>
        <w:tc>
          <w:tcPr>
            <w:tcW w:w="2840" w:type="dxa"/>
            <w:vAlign w:val="bottom"/>
          </w:tcPr>
          <w:p>
            <w:pPr>
              <w:jc w:val="right"/>
              <w:ind w:right="232"/>
              <w:spacing w:after="0"/>
              <w:rPr>
                <w:sz w:val="20"/>
                <w:szCs w:val="20"/>
                <w:color w:val="auto"/>
              </w:rPr>
            </w:pPr>
            <w:r>
              <w:rPr>
                <w:rFonts w:ascii="Arial" w:cs="Arial" w:eastAsia="Arial" w:hAnsi="Arial"/>
                <w:sz w:val="22"/>
                <w:szCs w:val="22"/>
                <w:color w:val="auto"/>
              </w:rPr>
              <w:t>4,806,329</w:t>
            </w:r>
          </w:p>
        </w:tc>
        <w:tc>
          <w:tcPr>
            <w:tcW w:w="1560" w:type="dxa"/>
            <w:vAlign w:val="bottom"/>
          </w:tcPr>
          <w:p>
            <w:pPr>
              <w:jc w:val="right"/>
              <w:ind w:right="232"/>
              <w:spacing w:after="0"/>
              <w:rPr>
                <w:sz w:val="20"/>
                <w:szCs w:val="20"/>
                <w:color w:val="auto"/>
              </w:rPr>
            </w:pPr>
            <w:r>
              <w:rPr>
                <w:rFonts w:ascii="Arial" w:cs="Arial" w:eastAsia="Arial" w:hAnsi="Arial"/>
                <w:sz w:val="22"/>
                <w:szCs w:val="22"/>
                <w:color w:val="auto"/>
              </w:rPr>
              <w:t>4,693,094</w:t>
            </w:r>
          </w:p>
        </w:tc>
        <w:tc>
          <w:tcPr>
            <w:tcW w:w="1280" w:type="dxa"/>
            <w:vAlign w:val="bottom"/>
          </w:tcPr>
          <w:p>
            <w:pPr>
              <w:jc w:val="right"/>
              <w:spacing w:after="0"/>
              <w:rPr>
                <w:sz w:val="20"/>
                <w:szCs w:val="20"/>
                <w:color w:val="auto"/>
              </w:rPr>
            </w:pPr>
            <w:r>
              <w:rPr>
                <w:rFonts w:ascii="Arial" w:cs="Arial" w:eastAsia="Arial" w:hAnsi="Arial"/>
                <w:sz w:val="22"/>
                <w:szCs w:val="22"/>
                <w:color w:val="auto"/>
              </w:rPr>
              <w:t>4,864,912</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Current Liabilities</w:t>
            </w:r>
          </w:p>
        </w:tc>
        <w:tc>
          <w:tcPr>
            <w:tcW w:w="2840" w:type="dxa"/>
            <w:vAlign w:val="bottom"/>
          </w:tcPr>
          <w:p>
            <w:pPr>
              <w:jc w:val="right"/>
              <w:ind w:right="232"/>
              <w:spacing w:after="0"/>
              <w:rPr>
                <w:sz w:val="20"/>
                <w:szCs w:val="20"/>
                <w:color w:val="auto"/>
              </w:rPr>
            </w:pPr>
            <w:r>
              <w:rPr>
                <w:rFonts w:ascii="Arial" w:cs="Arial" w:eastAsia="Arial" w:hAnsi="Arial"/>
                <w:sz w:val="22"/>
                <w:szCs w:val="22"/>
                <w:color w:val="auto"/>
              </w:rPr>
              <w:t>5,769,076</w:t>
            </w:r>
          </w:p>
        </w:tc>
        <w:tc>
          <w:tcPr>
            <w:tcW w:w="1560" w:type="dxa"/>
            <w:vAlign w:val="bottom"/>
          </w:tcPr>
          <w:p>
            <w:pPr>
              <w:jc w:val="right"/>
              <w:ind w:right="232"/>
              <w:spacing w:after="0"/>
              <w:rPr>
                <w:sz w:val="20"/>
                <w:szCs w:val="20"/>
                <w:color w:val="auto"/>
              </w:rPr>
            </w:pPr>
            <w:r>
              <w:rPr>
                <w:rFonts w:ascii="Arial" w:cs="Arial" w:eastAsia="Arial" w:hAnsi="Arial"/>
                <w:sz w:val="22"/>
                <w:szCs w:val="22"/>
                <w:color w:val="auto"/>
              </w:rPr>
              <w:t>5,316,889</w:t>
            </w:r>
          </w:p>
        </w:tc>
        <w:tc>
          <w:tcPr>
            <w:tcW w:w="1280" w:type="dxa"/>
            <w:vAlign w:val="bottom"/>
          </w:tcPr>
          <w:p>
            <w:pPr>
              <w:jc w:val="right"/>
              <w:spacing w:after="0"/>
              <w:rPr>
                <w:sz w:val="20"/>
                <w:szCs w:val="20"/>
                <w:color w:val="auto"/>
              </w:rPr>
            </w:pPr>
            <w:r>
              <w:rPr>
                <w:rFonts w:ascii="Arial" w:cs="Arial" w:eastAsia="Arial" w:hAnsi="Arial"/>
                <w:sz w:val="22"/>
                <w:szCs w:val="22"/>
                <w:color w:val="auto"/>
              </w:rPr>
              <w:t>5,512,141</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Operating lease liabilities, less current portion</w:t>
            </w:r>
          </w:p>
        </w:tc>
        <w:tc>
          <w:tcPr>
            <w:tcW w:w="2840" w:type="dxa"/>
            <w:vAlign w:val="bottom"/>
          </w:tcPr>
          <w:p>
            <w:pPr>
              <w:jc w:val="right"/>
              <w:ind w:right="232"/>
              <w:spacing w:after="0"/>
              <w:rPr>
                <w:sz w:val="20"/>
                <w:szCs w:val="20"/>
                <w:color w:val="auto"/>
              </w:rPr>
            </w:pPr>
            <w:r>
              <w:rPr>
                <w:rFonts w:ascii="Arial" w:cs="Arial" w:eastAsia="Arial" w:hAnsi="Arial"/>
                <w:sz w:val="22"/>
                <w:szCs w:val="22"/>
                <w:color w:val="auto"/>
              </w:rPr>
              <w:t>2,481,280</w:t>
            </w:r>
          </w:p>
        </w:tc>
        <w:tc>
          <w:tcPr>
            <w:tcW w:w="156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12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Total debt</w:t>
            </w:r>
          </w:p>
        </w:tc>
        <w:tc>
          <w:tcPr>
            <w:tcW w:w="2840" w:type="dxa"/>
            <w:vAlign w:val="bottom"/>
          </w:tcPr>
          <w:p>
            <w:pPr>
              <w:jc w:val="right"/>
              <w:ind w:right="232"/>
              <w:spacing w:after="0"/>
              <w:rPr>
                <w:sz w:val="20"/>
                <w:szCs w:val="20"/>
                <w:color w:val="auto"/>
              </w:rPr>
            </w:pPr>
            <w:r>
              <w:rPr>
                <w:rFonts w:ascii="Arial" w:cs="Arial" w:eastAsia="Arial" w:hAnsi="Arial"/>
                <w:sz w:val="22"/>
                <w:szCs w:val="22"/>
                <w:color w:val="auto"/>
              </w:rPr>
              <w:t>5,418,272</w:t>
            </w:r>
          </w:p>
        </w:tc>
        <w:tc>
          <w:tcPr>
            <w:tcW w:w="1560" w:type="dxa"/>
            <w:vAlign w:val="bottom"/>
          </w:tcPr>
          <w:p>
            <w:pPr>
              <w:jc w:val="right"/>
              <w:ind w:right="232"/>
              <w:spacing w:after="0"/>
              <w:rPr>
                <w:sz w:val="20"/>
                <w:szCs w:val="20"/>
                <w:color w:val="auto"/>
              </w:rPr>
            </w:pPr>
            <w:r>
              <w:rPr>
                <w:rFonts w:ascii="Arial" w:cs="Arial" w:eastAsia="Arial" w:hAnsi="Arial"/>
                <w:sz w:val="22"/>
                <w:szCs w:val="22"/>
                <w:color w:val="auto"/>
              </w:rPr>
              <w:t>5,151,917</w:t>
            </w:r>
          </w:p>
        </w:tc>
        <w:tc>
          <w:tcPr>
            <w:tcW w:w="1280" w:type="dxa"/>
            <w:vAlign w:val="bottom"/>
          </w:tcPr>
          <w:p>
            <w:pPr>
              <w:jc w:val="right"/>
              <w:spacing w:after="0"/>
              <w:rPr>
                <w:sz w:val="20"/>
                <w:szCs w:val="20"/>
                <w:color w:val="auto"/>
              </w:rPr>
            </w:pPr>
            <w:r>
              <w:rPr>
                <w:rFonts w:ascii="Arial" w:cs="Arial" w:eastAsia="Arial" w:hAnsi="Arial"/>
                <w:sz w:val="22"/>
                <w:szCs w:val="22"/>
                <w:color w:val="auto"/>
              </w:rPr>
              <w:t>5,206,344</w:t>
            </w:r>
          </w:p>
        </w:tc>
      </w:tr>
      <w:tr>
        <w:trPr>
          <w:trHeight w:val="270"/>
        </w:trPr>
        <w:tc>
          <w:tcPr>
            <w:tcW w:w="5500" w:type="dxa"/>
            <w:vAlign w:val="bottom"/>
          </w:tcPr>
          <w:p>
            <w:pPr>
              <w:spacing w:after="0"/>
              <w:rPr>
                <w:sz w:val="20"/>
                <w:szCs w:val="20"/>
                <w:color w:val="auto"/>
              </w:rPr>
            </w:pPr>
            <w:r>
              <w:rPr>
                <w:rFonts w:ascii="Arial" w:cs="Arial" w:eastAsia="Arial" w:hAnsi="Arial"/>
                <w:sz w:val="22"/>
                <w:szCs w:val="22"/>
                <w:color w:val="auto"/>
              </w:rPr>
              <w:t>Stockholders' deficit</w:t>
            </w:r>
          </w:p>
        </w:tc>
        <w:tc>
          <w:tcPr>
            <w:tcW w:w="2840" w:type="dxa"/>
            <w:vAlign w:val="bottom"/>
          </w:tcPr>
          <w:p>
            <w:pPr>
              <w:jc w:val="right"/>
              <w:ind w:right="172"/>
              <w:spacing w:after="0"/>
              <w:rPr>
                <w:sz w:val="20"/>
                <w:szCs w:val="20"/>
                <w:color w:val="auto"/>
              </w:rPr>
            </w:pPr>
            <w:r>
              <w:rPr>
                <w:rFonts w:ascii="Arial" w:cs="Arial" w:eastAsia="Arial" w:hAnsi="Arial"/>
                <w:sz w:val="22"/>
                <w:szCs w:val="22"/>
                <w:color w:val="auto"/>
              </w:rPr>
              <w:t>(1,632,736)</w:t>
            </w:r>
          </w:p>
        </w:tc>
        <w:tc>
          <w:tcPr>
            <w:tcW w:w="1560" w:type="dxa"/>
            <w:vAlign w:val="bottom"/>
          </w:tcPr>
          <w:p>
            <w:pPr>
              <w:jc w:val="right"/>
              <w:ind w:right="152"/>
              <w:spacing w:after="0"/>
              <w:rPr>
                <w:sz w:val="20"/>
                <w:szCs w:val="20"/>
                <w:color w:val="auto"/>
              </w:rPr>
            </w:pPr>
            <w:r>
              <w:rPr>
                <w:rFonts w:ascii="Arial" w:cs="Arial" w:eastAsia="Arial" w:hAnsi="Arial"/>
                <w:sz w:val="22"/>
                <w:szCs w:val="22"/>
                <w:color w:val="auto"/>
              </w:rPr>
              <w:t>(1,589,513)</w:t>
            </w:r>
          </w:p>
        </w:tc>
        <w:tc>
          <w:tcPr>
            <w:tcW w:w="1280" w:type="dxa"/>
            <w:vAlign w:val="bottom"/>
          </w:tcPr>
          <w:p>
            <w:pPr>
              <w:jc w:val="right"/>
              <w:spacing w:after="0"/>
              <w:rPr>
                <w:sz w:val="20"/>
                <w:szCs w:val="20"/>
                <w:color w:val="auto"/>
              </w:rPr>
            </w:pPr>
            <w:r>
              <w:rPr>
                <w:rFonts w:ascii="Arial" w:cs="Arial" w:eastAsia="Arial" w:hAnsi="Arial"/>
                <w:sz w:val="22"/>
                <w:szCs w:val="22"/>
                <w:color w:val="auto"/>
              </w:rPr>
              <w:t>(1,713,851)</w:t>
            </w:r>
          </w:p>
        </w:tc>
      </w:tr>
      <w:tr>
        <w:trPr>
          <w:trHeight w:val="274"/>
        </w:trPr>
        <w:tc>
          <w:tcPr>
            <w:tcW w:w="5500" w:type="dxa"/>
            <w:vAlign w:val="bottom"/>
          </w:tcPr>
          <w:p>
            <w:pPr>
              <w:spacing w:after="0"/>
              <w:rPr>
                <w:sz w:val="20"/>
                <w:szCs w:val="20"/>
                <w:color w:val="auto"/>
              </w:rPr>
            </w:pPr>
            <w:r>
              <w:rPr>
                <w:rFonts w:ascii="Arial" w:cs="Arial" w:eastAsia="Arial" w:hAnsi="Arial"/>
                <w:sz w:val="22"/>
                <w:szCs w:val="22"/>
                <w:color w:val="auto"/>
              </w:rPr>
              <w:t>Working capital</w:t>
            </w:r>
          </w:p>
        </w:tc>
        <w:tc>
          <w:tcPr>
            <w:tcW w:w="2840" w:type="dxa"/>
            <w:vAlign w:val="bottom"/>
          </w:tcPr>
          <w:p>
            <w:pPr>
              <w:jc w:val="right"/>
              <w:ind w:right="172"/>
              <w:spacing w:after="0"/>
              <w:rPr>
                <w:sz w:val="20"/>
                <w:szCs w:val="20"/>
                <w:color w:val="auto"/>
              </w:rPr>
            </w:pPr>
            <w:r>
              <w:rPr>
                <w:rFonts w:ascii="Arial" w:cs="Arial" w:eastAsia="Arial" w:hAnsi="Arial"/>
                <w:sz w:val="22"/>
                <w:szCs w:val="22"/>
                <w:color w:val="auto"/>
              </w:rPr>
              <w:t>(371,083)</w:t>
            </w:r>
          </w:p>
        </w:tc>
        <w:tc>
          <w:tcPr>
            <w:tcW w:w="1560" w:type="dxa"/>
            <w:vAlign w:val="bottom"/>
          </w:tcPr>
          <w:p>
            <w:pPr>
              <w:jc w:val="right"/>
              <w:ind w:right="152"/>
              <w:spacing w:after="0"/>
              <w:rPr>
                <w:sz w:val="20"/>
                <w:szCs w:val="20"/>
                <w:color w:val="auto"/>
              </w:rPr>
            </w:pPr>
            <w:r>
              <w:rPr>
                <w:rFonts w:ascii="Arial" w:cs="Arial" w:eastAsia="Arial" w:hAnsi="Arial"/>
                <w:sz w:val="22"/>
                <w:szCs w:val="22"/>
                <w:color w:val="auto"/>
              </w:rPr>
              <w:t>(345,549)</w:t>
            </w:r>
          </w:p>
        </w:tc>
        <w:tc>
          <w:tcPr>
            <w:tcW w:w="1280" w:type="dxa"/>
            <w:vAlign w:val="bottom"/>
          </w:tcPr>
          <w:p>
            <w:pPr>
              <w:jc w:val="right"/>
              <w:spacing w:after="0"/>
              <w:rPr>
                <w:sz w:val="20"/>
                <w:szCs w:val="20"/>
                <w:color w:val="auto"/>
              </w:rPr>
            </w:pPr>
            <w:r>
              <w:rPr>
                <w:rFonts w:ascii="Arial" w:cs="Arial" w:eastAsia="Arial" w:hAnsi="Arial"/>
                <w:sz w:val="22"/>
                <w:szCs w:val="22"/>
                <w:color w:val="auto"/>
              </w:rPr>
              <w:t>(483,456)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580" w:type="dxa"/>
            <w:vAlign w:val="bottom"/>
            <w:gridSpan w:val="2"/>
          </w:tcPr>
          <w:p>
            <w:pPr>
              <w:spacing w:after="0"/>
              <w:rPr>
                <w:sz w:val="20"/>
                <w:szCs w:val="20"/>
                <w:color w:val="auto"/>
              </w:rPr>
            </w:pPr>
            <w:r>
              <w:rPr>
                <w:rFonts w:ascii="Arial" w:cs="Arial" w:eastAsia="Arial" w:hAnsi="Arial"/>
                <w:sz w:val="22"/>
                <w:szCs w:val="22"/>
                <w:b w:val="1"/>
                <w:bCs w:val="1"/>
                <w:color w:val="auto"/>
              </w:rPr>
              <w:t>AutoZone's 3rd Quarter Highlights - Fiscal 2020</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80" w:type="dxa"/>
            <w:vAlign w:val="bottom"/>
            <w:gridSpan w:val="2"/>
          </w:tcPr>
          <w:p>
            <w:pPr>
              <w:spacing w:after="0"/>
              <w:rPr>
                <w:sz w:val="20"/>
                <w:szCs w:val="20"/>
                <w:color w:val="auto"/>
              </w:rPr>
            </w:pPr>
            <w:r>
              <w:rPr>
                <w:rFonts w:ascii="Arial" w:cs="Arial" w:eastAsia="Arial" w:hAnsi="Arial"/>
                <w:sz w:val="22"/>
                <w:szCs w:val="22"/>
                <w:b w:val="1"/>
                <w:bCs w:val="1"/>
                <w:color w:val="auto"/>
              </w:rPr>
              <w:t>Condensed Consolidated Statements of Operations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50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93"/>
              </w:rPr>
              <w:t>Adjusted Debt / EBITDAR</w:t>
            </w: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4"/>
            <w:vMerge w:val="restart"/>
          </w:tcPr>
          <w:p>
            <w:pPr>
              <w:jc w:val="right"/>
              <w:ind w:right="552"/>
              <w:spacing w:after="0"/>
              <w:rPr>
                <w:sz w:val="20"/>
                <w:szCs w:val="20"/>
                <w:color w:val="auto"/>
              </w:rPr>
            </w:pPr>
            <w:r>
              <w:rPr>
                <w:rFonts w:ascii="Arial" w:cs="Arial" w:eastAsia="Arial" w:hAnsi="Arial"/>
                <w:sz w:val="22"/>
                <w:szCs w:val="22"/>
                <w:b w:val="1"/>
                <w:bCs w:val="1"/>
                <w:color w:val="auto"/>
              </w:rPr>
              <w:t>Trailing 4 Quarters</w:t>
            </w:r>
          </w:p>
        </w:tc>
        <w:tc>
          <w:tcPr>
            <w:tcW w:w="0" w:type="dxa"/>
            <w:vAlign w:val="bottom"/>
          </w:tcPr>
          <w:p>
            <w:pPr>
              <w:spacing w:after="0"/>
              <w:rPr>
                <w:sz w:val="1"/>
                <w:szCs w:val="1"/>
                <w:color w:val="auto"/>
              </w:rPr>
            </w:pPr>
          </w:p>
        </w:tc>
      </w:tr>
      <w:tr>
        <w:trPr>
          <w:trHeight w:val="290"/>
        </w:trPr>
        <w:tc>
          <w:tcPr>
            <w:tcW w:w="5580" w:type="dxa"/>
            <w:vAlign w:val="bottom"/>
            <w:gridSpan w:val="2"/>
          </w:tcPr>
          <w:p>
            <w:pPr>
              <w:spacing w:after="0"/>
              <w:rPr>
                <w:sz w:val="20"/>
                <w:szCs w:val="20"/>
                <w:color w:val="auto"/>
              </w:rPr>
            </w:pPr>
            <w:r>
              <w:rPr>
                <w:rFonts w:ascii="Arial" w:cs="Arial" w:eastAsia="Arial" w:hAnsi="Arial"/>
                <w:sz w:val="22"/>
                <w:szCs w:val="22"/>
                <w:color w:val="auto"/>
              </w:rPr>
              <w:t>(in thousands, except adjusted debt to EBITDAR ratio)</w:t>
            </w:r>
          </w:p>
        </w:tc>
        <w:tc>
          <w:tcPr>
            <w:tcW w:w="320" w:type="dxa"/>
            <w:vAlign w:val="bottom"/>
          </w:tcPr>
          <w:p>
            <w:pPr>
              <w:spacing w:after="0"/>
              <w:rPr>
                <w:sz w:val="24"/>
                <w:szCs w:val="24"/>
                <w:color w:val="auto"/>
              </w:rPr>
            </w:pPr>
          </w:p>
        </w:tc>
        <w:tc>
          <w:tcPr>
            <w:tcW w:w="28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580" w:type="dxa"/>
            <w:vAlign w:val="bottom"/>
            <w:gridSpan w:val="2"/>
            <w:vMerge w:val="restart"/>
          </w:tcPr>
          <w:p>
            <w:pPr>
              <w:spacing w:after="0"/>
              <w:rPr>
                <w:sz w:val="20"/>
                <w:szCs w:val="20"/>
                <w:color w:val="auto"/>
              </w:rPr>
            </w:pPr>
            <w:r>
              <w:rPr>
                <w:rFonts w:ascii="Arial" w:cs="Arial" w:eastAsia="Arial" w:hAnsi="Arial"/>
                <w:sz w:val="22"/>
                <w:szCs w:val="22"/>
                <w:color w:val="auto"/>
              </w:rPr>
              <w:t>Net income</w:t>
            </w:r>
          </w:p>
        </w:tc>
        <w:tc>
          <w:tcPr>
            <w:tcW w:w="1620" w:type="dxa"/>
            <w:vAlign w:val="bottom"/>
            <w:gridSpan w:val="3"/>
          </w:tcPr>
          <w:p>
            <w:pPr>
              <w:ind w:left="200"/>
              <w:spacing w:after="0"/>
              <w:rPr>
                <w:sz w:val="20"/>
                <w:szCs w:val="20"/>
                <w:color w:val="auto"/>
              </w:rPr>
            </w:pPr>
            <w:r>
              <w:rPr>
                <w:rFonts w:ascii="Arial" w:cs="Arial" w:eastAsia="Arial" w:hAnsi="Arial"/>
                <w:sz w:val="22"/>
                <w:szCs w:val="22"/>
                <w:b w:val="1"/>
                <w:bCs w:val="1"/>
                <w:color w:val="auto"/>
              </w:rPr>
              <w:t>May 9, 2020</w:t>
            </w:r>
          </w:p>
        </w:tc>
        <w:tc>
          <w:tcPr>
            <w:tcW w:w="1500" w:type="dxa"/>
            <w:vAlign w:val="bottom"/>
            <w:gridSpan w:val="2"/>
          </w:tcPr>
          <w:p>
            <w:pPr>
              <w:jc w:val="right"/>
              <w:ind w:right="72"/>
              <w:spacing w:after="0"/>
              <w:rPr>
                <w:sz w:val="20"/>
                <w:szCs w:val="20"/>
                <w:color w:val="auto"/>
              </w:rPr>
            </w:pPr>
            <w:r>
              <w:rPr>
                <w:rFonts w:ascii="Arial" w:cs="Arial" w:eastAsia="Arial" w:hAnsi="Arial"/>
                <w:sz w:val="22"/>
                <w:szCs w:val="22"/>
                <w:b w:val="1"/>
                <w:bCs w:val="1"/>
                <w:color w:val="auto"/>
              </w:rPr>
              <w:t>May 4, 2019</w:t>
            </w:r>
          </w:p>
        </w:tc>
        <w:tc>
          <w:tcPr>
            <w:tcW w:w="0" w:type="dxa"/>
            <w:vAlign w:val="bottom"/>
          </w:tcPr>
          <w:p>
            <w:pPr>
              <w:spacing w:after="0"/>
              <w:rPr>
                <w:sz w:val="1"/>
                <w:szCs w:val="1"/>
                <w:color w:val="auto"/>
              </w:rPr>
            </w:pPr>
          </w:p>
        </w:tc>
      </w:tr>
      <w:tr>
        <w:trPr>
          <w:trHeight w:val="257"/>
        </w:trPr>
        <w:tc>
          <w:tcPr>
            <w:tcW w:w="5580" w:type="dxa"/>
            <w:vAlign w:val="bottom"/>
            <w:gridSpan w:val="2"/>
            <w:vMerge w:val="continue"/>
          </w:tcPr>
          <w:p>
            <w:pPr>
              <w:spacing w:after="0"/>
              <w:rPr>
                <w:sz w:val="22"/>
                <w:szCs w:val="2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w w:val="98"/>
              </w:rPr>
              <w:t>1,557,744</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w w:val="98"/>
              </w:rPr>
              <w:t>1,452,274</w:t>
            </w:r>
          </w:p>
        </w:tc>
        <w:tc>
          <w:tcPr>
            <w:tcW w:w="0" w:type="dxa"/>
            <w:vAlign w:val="bottom"/>
          </w:tcPr>
          <w:p>
            <w:pPr>
              <w:spacing w:after="0"/>
              <w:rPr>
                <w:sz w:val="1"/>
                <w:szCs w:val="1"/>
                <w:color w:val="auto"/>
              </w:rPr>
            </w:pPr>
          </w:p>
        </w:tc>
      </w:tr>
      <w:tr>
        <w:trPr>
          <w:trHeight w:val="270"/>
        </w:trPr>
        <w:tc>
          <w:tcPr>
            <w:tcW w:w="5580" w:type="dxa"/>
            <w:vAlign w:val="bottom"/>
            <w:gridSpan w:val="2"/>
          </w:tcPr>
          <w:p>
            <w:pPr>
              <w:spacing w:after="0"/>
              <w:rPr>
                <w:sz w:val="20"/>
                <w:szCs w:val="20"/>
                <w:color w:val="auto"/>
              </w:rPr>
            </w:pPr>
            <w:r>
              <w:rPr>
                <w:rFonts w:ascii="Arial" w:cs="Arial" w:eastAsia="Arial" w:hAnsi="Arial"/>
                <w:sz w:val="22"/>
                <w:szCs w:val="22"/>
                <w:color w:val="auto"/>
              </w:rPr>
              <w:t>Add: Pension termination charge before tax</w:t>
            </w: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130,263</w:t>
            </w:r>
          </w:p>
        </w:tc>
        <w:tc>
          <w:tcPr>
            <w:tcW w:w="0" w:type="dxa"/>
            <w:vAlign w:val="bottom"/>
          </w:tcPr>
          <w:p>
            <w:pPr>
              <w:spacing w:after="0"/>
              <w:rPr>
                <w:sz w:val="1"/>
                <w:szCs w:val="1"/>
                <w:color w:val="auto"/>
              </w:rPr>
            </w:pPr>
          </w:p>
        </w:tc>
      </w:tr>
      <w:tr>
        <w:trPr>
          <w:trHeight w:val="270"/>
        </w:trPr>
        <w:tc>
          <w:tcPr>
            <w:tcW w:w="5580" w:type="dxa"/>
            <w:vAlign w:val="bottom"/>
            <w:gridSpan w:val="2"/>
          </w:tcPr>
          <w:p>
            <w:pPr>
              <w:ind w:left="600"/>
              <w:spacing w:after="0"/>
              <w:rPr>
                <w:sz w:val="20"/>
                <w:szCs w:val="20"/>
                <w:color w:val="auto"/>
              </w:rPr>
            </w:pPr>
            <w:r>
              <w:rPr>
                <w:rFonts w:ascii="Arial" w:cs="Arial" w:eastAsia="Arial" w:hAnsi="Arial"/>
                <w:sz w:val="22"/>
                <w:szCs w:val="22"/>
                <w:color w:val="auto"/>
              </w:rPr>
              <w:t>Interest expense</w:t>
            </w: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196,724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177,949</w:t>
            </w:r>
          </w:p>
        </w:tc>
        <w:tc>
          <w:tcPr>
            <w:tcW w:w="0" w:type="dxa"/>
            <w:vAlign w:val="bottom"/>
          </w:tcPr>
          <w:p>
            <w:pPr>
              <w:spacing w:after="0"/>
              <w:rPr>
                <w:sz w:val="1"/>
                <w:szCs w:val="1"/>
                <w:color w:val="auto"/>
              </w:rPr>
            </w:pPr>
          </w:p>
        </w:tc>
      </w:tr>
      <w:tr>
        <w:trPr>
          <w:trHeight w:val="274"/>
        </w:trPr>
        <w:tc>
          <w:tcPr>
            <w:tcW w:w="5580" w:type="dxa"/>
            <w:vAlign w:val="bottom"/>
            <w:gridSpan w:val="2"/>
          </w:tcPr>
          <w:p>
            <w:pPr>
              <w:ind w:left="600"/>
              <w:spacing w:after="0"/>
              <w:rPr>
                <w:sz w:val="20"/>
                <w:szCs w:val="20"/>
                <w:color w:val="auto"/>
              </w:rPr>
            </w:pPr>
            <w:r>
              <w:rPr>
                <w:rFonts w:ascii="Arial" w:cs="Arial" w:eastAsia="Arial" w:hAnsi="Arial"/>
                <w:sz w:val="22"/>
                <w:szCs w:val="22"/>
                <w:color w:val="auto"/>
              </w:rPr>
              <w:t>Income tax expense</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425,941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396,378</w:t>
            </w:r>
          </w:p>
        </w:tc>
        <w:tc>
          <w:tcPr>
            <w:tcW w:w="0" w:type="dxa"/>
            <w:vAlign w:val="bottom"/>
          </w:tcPr>
          <w:p>
            <w:pPr>
              <w:spacing w:after="0"/>
              <w:rPr>
                <w:sz w:val="1"/>
                <w:szCs w:val="1"/>
                <w:color w:val="auto"/>
              </w:rPr>
            </w:pPr>
          </w:p>
        </w:tc>
      </w:tr>
      <w:tr>
        <w:trPr>
          <w:trHeight w:val="271"/>
        </w:trPr>
        <w:tc>
          <w:tcPr>
            <w:tcW w:w="5580" w:type="dxa"/>
            <w:vAlign w:val="bottom"/>
            <w:gridSpan w:val="2"/>
          </w:tcPr>
          <w:p>
            <w:pPr>
              <w:spacing w:after="0"/>
              <w:rPr>
                <w:sz w:val="20"/>
                <w:szCs w:val="20"/>
                <w:color w:val="auto"/>
              </w:rPr>
            </w:pPr>
            <w:r>
              <w:rPr>
                <w:rFonts w:ascii="Arial" w:cs="Arial" w:eastAsia="Arial" w:hAnsi="Arial"/>
                <w:sz w:val="22"/>
                <w:szCs w:val="22"/>
                <w:color w:val="auto"/>
              </w:rPr>
              <w:t>Adjusted EBIT</w:t>
            </w: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w w:val="98"/>
              </w:rPr>
              <w:t>2,180,409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w w:val="98"/>
              </w:rPr>
              <w:t>2,156,864</w:t>
            </w:r>
          </w:p>
        </w:tc>
        <w:tc>
          <w:tcPr>
            <w:tcW w:w="0" w:type="dxa"/>
            <w:vAlign w:val="bottom"/>
          </w:tcPr>
          <w:p>
            <w:pPr>
              <w:spacing w:after="0"/>
              <w:rPr>
                <w:sz w:val="1"/>
                <w:szCs w:val="1"/>
                <w:color w:val="auto"/>
              </w:rPr>
            </w:pPr>
          </w:p>
        </w:tc>
      </w:tr>
      <w:tr>
        <w:trPr>
          <w:trHeight w:val="532"/>
        </w:trPr>
        <w:tc>
          <w:tcPr>
            <w:tcW w:w="5580" w:type="dxa"/>
            <w:vAlign w:val="bottom"/>
            <w:gridSpan w:val="2"/>
          </w:tcPr>
          <w:p>
            <w:pPr>
              <w:spacing w:after="0"/>
              <w:rPr>
                <w:sz w:val="20"/>
                <w:szCs w:val="20"/>
                <w:color w:val="auto"/>
              </w:rPr>
            </w:pPr>
            <w:r>
              <w:rPr>
                <w:rFonts w:ascii="Arial" w:cs="Arial" w:eastAsia="Arial" w:hAnsi="Arial"/>
                <w:sz w:val="22"/>
                <w:szCs w:val="22"/>
                <w:color w:val="auto"/>
              </w:rPr>
              <w:t>Add: Depreciation and amortization</w:t>
            </w:r>
          </w:p>
        </w:tc>
        <w:tc>
          <w:tcPr>
            <w:tcW w:w="3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390,954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359,111</w:t>
            </w:r>
          </w:p>
        </w:tc>
        <w:tc>
          <w:tcPr>
            <w:tcW w:w="0" w:type="dxa"/>
            <w:vAlign w:val="bottom"/>
          </w:tcPr>
          <w:p>
            <w:pPr>
              <w:spacing w:after="0"/>
              <w:rPr>
                <w:sz w:val="1"/>
                <w:szCs w:val="1"/>
                <w:color w:val="auto"/>
              </w:rPr>
            </w:pPr>
          </w:p>
        </w:tc>
      </w:tr>
      <w:tr>
        <w:trPr>
          <w:trHeight w:val="320"/>
        </w:trPr>
        <w:tc>
          <w:tcPr>
            <w:tcW w:w="5580" w:type="dxa"/>
            <w:vAlign w:val="bottom"/>
            <w:gridSpan w:val="2"/>
          </w:tcPr>
          <w:p>
            <w:pPr>
              <w:ind w:left="600"/>
              <w:spacing w:after="0" w:line="319" w:lineRule="exact"/>
              <w:rPr>
                <w:sz w:val="20"/>
                <w:szCs w:val="20"/>
                <w:color w:val="auto"/>
              </w:rPr>
            </w:pPr>
            <w:r>
              <w:rPr>
                <w:rFonts w:ascii="Arial" w:cs="Arial" w:eastAsia="Arial" w:hAnsi="Arial"/>
                <w:sz w:val="22"/>
                <w:szCs w:val="22"/>
                <w:color w:val="auto"/>
              </w:rPr>
              <w:t>Rent expense</w:t>
            </w:r>
            <w:r>
              <w:rPr>
                <w:rFonts w:ascii="Arial" w:cs="Arial" w:eastAsia="Arial" w:hAnsi="Arial"/>
                <w:sz w:val="35"/>
                <w:szCs w:val="35"/>
                <w:color w:val="auto"/>
                <w:vertAlign w:val="superscript"/>
              </w:rPr>
              <w:t>(1)</w:t>
            </w:r>
          </w:p>
        </w:tc>
        <w:tc>
          <w:tcPr>
            <w:tcW w:w="3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335,794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320,840</w:t>
            </w:r>
          </w:p>
        </w:tc>
        <w:tc>
          <w:tcPr>
            <w:tcW w:w="0" w:type="dxa"/>
            <w:vAlign w:val="bottom"/>
          </w:tcPr>
          <w:p>
            <w:pPr>
              <w:spacing w:after="0"/>
              <w:rPr>
                <w:sz w:val="1"/>
                <w:szCs w:val="1"/>
                <w:color w:val="auto"/>
              </w:rPr>
            </w:pPr>
          </w:p>
        </w:tc>
      </w:tr>
      <w:tr>
        <w:trPr>
          <w:trHeight w:val="274"/>
        </w:trPr>
        <w:tc>
          <w:tcPr>
            <w:tcW w:w="5580" w:type="dxa"/>
            <w:vAlign w:val="bottom"/>
            <w:gridSpan w:val="2"/>
          </w:tcPr>
          <w:p>
            <w:pPr>
              <w:ind w:left="600"/>
              <w:spacing w:after="0"/>
              <w:rPr>
                <w:sz w:val="20"/>
                <w:szCs w:val="20"/>
                <w:color w:val="auto"/>
              </w:rPr>
            </w:pPr>
            <w:r>
              <w:rPr>
                <w:rFonts w:ascii="Arial" w:cs="Arial" w:eastAsia="Arial" w:hAnsi="Arial"/>
                <w:sz w:val="22"/>
                <w:szCs w:val="22"/>
                <w:color w:val="auto"/>
              </w:rPr>
              <w:t>Share-based expense</w:t>
            </w: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43,977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45,644</w:t>
            </w:r>
          </w:p>
        </w:tc>
        <w:tc>
          <w:tcPr>
            <w:tcW w:w="0" w:type="dxa"/>
            <w:vAlign w:val="bottom"/>
          </w:tcPr>
          <w:p>
            <w:pPr>
              <w:spacing w:after="0"/>
              <w:rPr>
                <w:sz w:val="1"/>
                <w:szCs w:val="1"/>
                <w:color w:val="auto"/>
              </w:rPr>
            </w:pPr>
          </w:p>
        </w:tc>
      </w:tr>
      <w:tr>
        <w:trPr>
          <w:trHeight w:val="267"/>
        </w:trPr>
        <w:tc>
          <w:tcPr>
            <w:tcW w:w="5580" w:type="dxa"/>
            <w:vAlign w:val="bottom"/>
            <w:gridSpan w:val="2"/>
          </w:tcPr>
          <w:p>
            <w:pPr>
              <w:spacing w:after="0"/>
              <w:rPr>
                <w:sz w:val="20"/>
                <w:szCs w:val="20"/>
                <w:color w:val="auto"/>
              </w:rPr>
            </w:pPr>
            <w:r>
              <w:rPr>
                <w:rFonts w:ascii="Arial" w:cs="Arial" w:eastAsia="Arial" w:hAnsi="Arial"/>
                <w:sz w:val="22"/>
                <w:szCs w:val="22"/>
                <w:color w:val="auto"/>
              </w:rPr>
              <w:t>Adjusted EBITDAR</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8"/>
              </w:rPr>
              <w:t>2,951,134</w:t>
            </w:r>
          </w:p>
        </w:tc>
        <w:tc>
          <w:tcPr>
            <w:tcW w:w="120" w:type="dxa"/>
            <w:vAlign w:val="bottom"/>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8"/>
              </w:rPr>
              <w:t>2,882,459</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5580" w:type="dxa"/>
            <w:vAlign w:val="bottom"/>
            <w:gridSpan w:val="2"/>
          </w:tcPr>
          <w:p>
            <w:pPr>
              <w:spacing w:after="0"/>
              <w:rPr>
                <w:sz w:val="20"/>
                <w:szCs w:val="20"/>
                <w:color w:val="auto"/>
              </w:rPr>
            </w:pPr>
            <w:r>
              <w:rPr>
                <w:rFonts w:ascii="Arial" w:cs="Arial" w:eastAsia="Arial" w:hAnsi="Arial"/>
                <w:sz w:val="22"/>
                <w:szCs w:val="22"/>
                <w:color w:val="auto"/>
              </w:rPr>
              <w:t>Debt</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w w:val="98"/>
              </w:rPr>
              <w:t>5,418,272</w:t>
            </w: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1180" w:type="dxa"/>
            <w:vAlign w:val="bottom"/>
          </w:tcPr>
          <w:p>
            <w:pPr>
              <w:jc w:val="right"/>
              <w:ind w:right="92"/>
              <w:spacing w:after="0"/>
              <w:rPr>
                <w:sz w:val="20"/>
                <w:szCs w:val="20"/>
                <w:color w:val="auto"/>
              </w:rPr>
            </w:pPr>
            <w:r>
              <w:rPr>
                <w:rFonts w:ascii="Arial" w:cs="Arial" w:eastAsia="Arial" w:hAnsi="Arial"/>
                <w:sz w:val="22"/>
                <w:szCs w:val="22"/>
                <w:color w:val="auto"/>
                <w:w w:val="98"/>
              </w:rPr>
              <w:t>5,151,917</w:t>
            </w:r>
          </w:p>
        </w:tc>
        <w:tc>
          <w:tcPr>
            <w:tcW w:w="0" w:type="dxa"/>
            <w:vAlign w:val="bottom"/>
          </w:tcPr>
          <w:p>
            <w:pPr>
              <w:spacing w:after="0"/>
              <w:rPr>
                <w:sz w:val="1"/>
                <w:szCs w:val="1"/>
                <w:color w:val="auto"/>
              </w:rPr>
            </w:pPr>
          </w:p>
        </w:tc>
      </w:tr>
      <w:tr>
        <w:trPr>
          <w:trHeight w:val="274"/>
        </w:trPr>
        <w:tc>
          <w:tcPr>
            <w:tcW w:w="5580" w:type="dxa"/>
            <w:vAlign w:val="bottom"/>
            <w:gridSpan w:val="2"/>
          </w:tcPr>
          <w:p>
            <w:pPr>
              <w:spacing w:after="0"/>
              <w:rPr>
                <w:sz w:val="20"/>
                <w:szCs w:val="20"/>
                <w:color w:val="auto"/>
              </w:rPr>
            </w:pPr>
            <w:r>
              <w:rPr>
                <w:rFonts w:ascii="Arial" w:cs="Arial" w:eastAsia="Arial" w:hAnsi="Arial"/>
                <w:sz w:val="22"/>
                <w:szCs w:val="22"/>
                <w:color w:val="auto"/>
              </w:rPr>
              <w:t>Financing lease liabilities</w:t>
            </w: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184,276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165,541</w:t>
            </w:r>
          </w:p>
        </w:tc>
        <w:tc>
          <w:tcPr>
            <w:tcW w:w="0" w:type="dxa"/>
            <w:vAlign w:val="bottom"/>
          </w:tcPr>
          <w:p>
            <w:pPr>
              <w:spacing w:after="0"/>
              <w:rPr>
                <w:sz w:val="1"/>
                <w:szCs w:val="1"/>
                <w:color w:val="auto"/>
              </w:rPr>
            </w:pPr>
          </w:p>
        </w:tc>
      </w:tr>
      <w:tr>
        <w:trPr>
          <w:trHeight w:val="327"/>
        </w:trPr>
        <w:tc>
          <w:tcPr>
            <w:tcW w:w="5580" w:type="dxa"/>
            <w:vAlign w:val="bottom"/>
            <w:gridSpan w:val="2"/>
          </w:tcPr>
          <w:p>
            <w:pPr>
              <w:spacing w:after="0" w:line="328" w:lineRule="exact"/>
              <w:rPr>
                <w:sz w:val="20"/>
                <w:szCs w:val="20"/>
                <w:color w:val="auto"/>
              </w:rPr>
            </w:pPr>
            <w:r>
              <w:rPr>
                <w:rFonts w:ascii="Arial" w:cs="Arial" w:eastAsia="Arial" w:hAnsi="Arial"/>
                <w:sz w:val="22"/>
                <w:szCs w:val="22"/>
                <w:color w:val="auto"/>
              </w:rPr>
              <w:t>Add: rent x 6</w:t>
            </w:r>
            <w:r>
              <w:rPr>
                <w:rFonts w:ascii="Arial" w:cs="Arial" w:eastAsia="Arial" w:hAnsi="Arial"/>
                <w:sz w:val="35"/>
                <w:szCs w:val="3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8"/>
              </w:rPr>
              <w:t>2,014,764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8"/>
              </w:rPr>
              <w:t>1,925,040</w:t>
            </w:r>
          </w:p>
        </w:tc>
        <w:tc>
          <w:tcPr>
            <w:tcW w:w="0" w:type="dxa"/>
            <w:vAlign w:val="bottom"/>
          </w:tcPr>
          <w:p>
            <w:pPr>
              <w:spacing w:after="0"/>
              <w:rPr>
                <w:sz w:val="1"/>
                <w:szCs w:val="1"/>
                <w:color w:val="auto"/>
              </w:rPr>
            </w:pPr>
          </w:p>
        </w:tc>
      </w:tr>
      <w:tr>
        <w:trPr>
          <w:trHeight w:val="264"/>
        </w:trPr>
        <w:tc>
          <w:tcPr>
            <w:tcW w:w="5580" w:type="dxa"/>
            <w:vAlign w:val="bottom"/>
            <w:gridSpan w:val="2"/>
          </w:tcPr>
          <w:p>
            <w:pPr>
              <w:spacing w:after="0"/>
              <w:rPr>
                <w:sz w:val="20"/>
                <w:szCs w:val="20"/>
                <w:color w:val="auto"/>
              </w:rPr>
            </w:pPr>
            <w:r>
              <w:rPr>
                <w:rFonts w:ascii="Arial" w:cs="Arial" w:eastAsia="Arial" w:hAnsi="Arial"/>
                <w:sz w:val="22"/>
                <w:szCs w:val="22"/>
                <w:color w:val="auto"/>
              </w:rPr>
              <w:t>Adjusted debt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8"/>
              </w:rPr>
              <w:t>7,617,312</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w w:val="98"/>
              </w:rPr>
              <w:t>7,242,498</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Adjusted debt to EBITDAR</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0"/>
        </w:trPr>
        <w:tc>
          <w:tcPr>
            <w:tcW w:w="5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40" w:top="132" w:right="379" w:bottom="0" w:gutter="0" w:footer="0" w:header="0"/>
        </w:sect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Adjusted Return on Invested Capital (ROIC)</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(in thousands, except ROIC)</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Net income</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Adjustments:</w:t>
      </w:r>
    </w:p>
    <w:p>
      <w:pPr>
        <w:spacing w:after="0" w:line="21" w:lineRule="exact"/>
        <w:rPr>
          <w:sz w:val="20"/>
          <w:szCs w:val="20"/>
          <w:color w:val="auto"/>
        </w:rPr>
      </w:pPr>
    </w:p>
    <w:p>
      <w:pPr>
        <w:ind w:left="400" w:right="1180"/>
        <w:spacing w:after="0" w:line="257" w:lineRule="auto"/>
        <w:rPr>
          <w:sz w:val="20"/>
          <w:szCs w:val="20"/>
          <w:color w:val="auto"/>
        </w:rPr>
      </w:pPr>
      <w:r>
        <w:rPr>
          <w:rFonts w:ascii="Arial" w:cs="Arial" w:eastAsia="Arial" w:hAnsi="Arial"/>
          <w:sz w:val="22"/>
          <w:szCs w:val="22"/>
          <w:color w:val="auto"/>
        </w:rPr>
        <w:t>Pension termination charge before tax Interest expense</w:t>
      </w:r>
    </w:p>
    <w:p>
      <w:pPr>
        <w:ind w:left="400"/>
        <w:spacing w:after="0" w:line="203" w:lineRule="auto"/>
        <w:rPr>
          <w:sz w:val="20"/>
          <w:szCs w:val="20"/>
          <w:color w:val="auto"/>
        </w:rPr>
      </w:pPr>
      <w:r>
        <w:rPr>
          <w:rFonts w:ascii="Arial" w:cs="Arial" w:eastAsia="Arial" w:hAnsi="Arial"/>
          <w:sz w:val="22"/>
          <w:szCs w:val="22"/>
          <w:color w:val="auto"/>
        </w:rPr>
        <w:t>Rent expense</w:t>
      </w:r>
      <w:r>
        <w:rPr>
          <w:rFonts w:ascii="Arial" w:cs="Arial" w:eastAsia="Arial" w:hAnsi="Arial"/>
          <w:sz w:val="35"/>
          <w:szCs w:val="35"/>
          <w:color w:val="auto"/>
          <w:vertAlign w:val="superscript"/>
        </w:rPr>
        <w:t>(1)</w:t>
      </w:r>
    </w:p>
    <w:p>
      <w:pPr>
        <w:ind w:left="400"/>
        <w:spacing w:after="0" w:line="190" w:lineRule="auto"/>
        <w:rPr>
          <w:sz w:val="20"/>
          <w:szCs w:val="20"/>
          <w:color w:val="auto"/>
        </w:rPr>
      </w:pPr>
      <w:r>
        <w:rPr>
          <w:rFonts w:ascii="Arial" w:cs="Arial" w:eastAsia="Arial" w:hAnsi="Arial"/>
          <w:sz w:val="22"/>
          <w:szCs w:val="22"/>
          <w:color w:val="auto"/>
        </w:rPr>
        <w:t>Tax effect</w:t>
      </w:r>
      <w:r>
        <w:rPr>
          <w:rFonts w:ascii="Arial" w:cs="Arial" w:eastAsia="Arial" w:hAnsi="Arial"/>
          <w:sz w:val="35"/>
          <w:szCs w:val="35"/>
          <w:color w:val="auto"/>
          <w:vertAlign w:val="superscript"/>
        </w:rPr>
        <w:t>(2)</w:t>
      </w:r>
    </w:p>
    <w:p>
      <w:pPr>
        <w:spacing w:after="0" w:line="1" w:lineRule="exact"/>
        <w:rPr>
          <w:sz w:val="20"/>
          <w:szCs w:val="20"/>
          <w:color w:val="auto"/>
        </w:rPr>
      </w:pPr>
    </w:p>
    <w:p>
      <w:pPr>
        <w:ind w:right="540" w:firstLine="392"/>
        <w:spacing w:after="0" w:line="272" w:lineRule="auto"/>
        <w:rPr>
          <w:sz w:val="20"/>
          <w:szCs w:val="20"/>
          <w:color w:val="auto"/>
        </w:rPr>
      </w:pPr>
      <w:r>
        <w:rPr>
          <w:rFonts w:ascii="Arial" w:cs="Arial" w:eastAsia="Arial" w:hAnsi="Arial"/>
          <w:sz w:val="22"/>
          <w:szCs w:val="22"/>
          <w:color w:val="auto"/>
        </w:rPr>
        <w:t>Deferred tax liabilities, net of repatriation tax Adjusted after-tax return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Average debt</w:t>
      </w:r>
      <w:r>
        <w:rPr>
          <w:rFonts w:ascii="Arial" w:cs="Arial" w:eastAsia="Arial" w:hAnsi="Arial"/>
          <w:sz w:val="35"/>
          <w:szCs w:val="35"/>
          <w:color w:val="auto"/>
          <w:vertAlign w:val="superscript"/>
        </w:rPr>
        <w:t>(3)</w:t>
      </w:r>
    </w:p>
    <w:p>
      <w:pPr>
        <w:spacing w:after="0" w:line="193" w:lineRule="auto"/>
        <w:rPr>
          <w:sz w:val="20"/>
          <w:szCs w:val="20"/>
          <w:color w:val="auto"/>
        </w:rPr>
      </w:pPr>
      <w:r>
        <w:rPr>
          <w:rFonts w:ascii="Arial" w:cs="Arial" w:eastAsia="Arial" w:hAnsi="Arial"/>
          <w:sz w:val="22"/>
          <w:szCs w:val="22"/>
          <w:color w:val="auto"/>
        </w:rPr>
        <w:t>Average stockholders' deficit</w:t>
      </w:r>
      <w:r>
        <w:rPr>
          <w:rFonts w:ascii="Arial" w:cs="Arial" w:eastAsia="Arial" w:hAnsi="Arial"/>
          <w:sz w:val="35"/>
          <w:szCs w:val="35"/>
          <w:color w:val="auto"/>
          <w:vertAlign w:val="superscript"/>
        </w:rPr>
        <w:t>(3)</w:t>
      </w:r>
    </w:p>
    <w:p>
      <w:pPr>
        <w:spacing w:after="0" w:line="193" w:lineRule="auto"/>
        <w:rPr>
          <w:sz w:val="20"/>
          <w:szCs w:val="20"/>
          <w:color w:val="auto"/>
        </w:rPr>
      </w:pPr>
      <w:r>
        <w:rPr>
          <w:rFonts w:ascii="Arial" w:cs="Arial" w:eastAsia="Arial" w:hAnsi="Arial"/>
          <w:sz w:val="22"/>
          <w:szCs w:val="22"/>
          <w:color w:val="auto"/>
        </w:rPr>
        <w:t>Add: Rent x 6</w:t>
      </w:r>
      <w:r>
        <w:rPr>
          <w:rFonts w:ascii="Arial" w:cs="Arial" w:eastAsia="Arial" w:hAnsi="Arial"/>
          <w:sz w:val="35"/>
          <w:szCs w:val="35"/>
          <w:color w:val="auto"/>
          <w:vertAlign w:val="superscript"/>
        </w:rPr>
        <w:t>(1)</w:t>
      </w:r>
    </w:p>
    <w:p>
      <w:pPr>
        <w:spacing w:after="0" w:line="198" w:lineRule="auto"/>
        <w:rPr>
          <w:sz w:val="20"/>
          <w:szCs w:val="20"/>
          <w:color w:val="auto"/>
        </w:rPr>
      </w:pPr>
      <w:r>
        <w:rPr>
          <w:rFonts w:ascii="Arial" w:cs="Arial" w:eastAsia="Arial" w:hAnsi="Arial"/>
          <w:sz w:val="22"/>
          <w:szCs w:val="22"/>
          <w:color w:val="auto"/>
        </w:rPr>
        <w:t>Average financing lease liabilities</w:t>
      </w:r>
      <w:r>
        <w:rPr>
          <w:rFonts w:ascii="Arial" w:cs="Arial" w:eastAsia="Arial" w:hAnsi="Arial"/>
          <w:sz w:val="35"/>
          <w:szCs w:val="35"/>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Invested capital</w:t>
      </w: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Adjusted After-Tax ROIC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Trailing 4 Quarters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620" w:type="dxa"/>
            <w:vAlign w:val="bottom"/>
            <w:gridSpan w:val="2"/>
          </w:tcPr>
          <w:p>
            <w:pPr>
              <w:ind w:left="200"/>
              <w:spacing w:after="0"/>
              <w:rPr>
                <w:sz w:val="20"/>
                <w:szCs w:val="20"/>
                <w:color w:val="auto"/>
              </w:rPr>
            </w:pPr>
            <w:r>
              <w:rPr>
                <w:rFonts w:ascii="Arial" w:cs="Arial" w:eastAsia="Arial" w:hAnsi="Arial"/>
                <w:sz w:val="22"/>
                <w:szCs w:val="22"/>
                <w:b w:val="1"/>
                <w:bCs w:val="1"/>
                <w:color w:val="auto"/>
              </w:rPr>
              <w:t>May 9, 2020</w:t>
            </w:r>
          </w:p>
        </w:tc>
        <w:tc>
          <w:tcPr>
            <w:tcW w:w="1500" w:type="dxa"/>
            <w:vAlign w:val="bottom"/>
          </w:tcPr>
          <w:p>
            <w:pPr>
              <w:jc w:val="right"/>
              <w:ind w:right="72"/>
              <w:spacing w:after="0"/>
              <w:rPr>
                <w:sz w:val="20"/>
                <w:szCs w:val="20"/>
                <w:color w:val="auto"/>
              </w:rPr>
            </w:pPr>
            <w:r>
              <w:rPr>
                <w:rFonts w:ascii="Arial" w:cs="Arial" w:eastAsia="Arial" w:hAnsi="Arial"/>
                <w:sz w:val="22"/>
                <w:szCs w:val="22"/>
                <w:b w:val="1"/>
                <w:bCs w:val="1"/>
                <w:color w:val="auto"/>
              </w:rPr>
              <w:t>May 4, 2019</w:t>
            </w:r>
          </w:p>
        </w:tc>
      </w:tr>
      <w:tr>
        <w:trPr>
          <w:trHeight w:val="268"/>
        </w:trPr>
        <w:tc>
          <w:tcPr>
            <w:tcW w:w="150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rPr>
              <w:t>$  1,557,744</w:t>
            </w:r>
          </w:p>
        </w:tc>
        <w:tc>
          <w:tcPr>
            <w:tcW w:w="120" w:type="dxa"/>
            <w:vAlign w:val="bottom"/>
          </w:tcPr>
          <w:p>
            <w:pPr>
              <w:spacing w:after="0"/>
              <w:rPr>
                <w:sz w:val="23"/>
                <w:szCs w:val="23"/>
                <w:color w:val="auto"/>
              </w:rPr>
            </w:pPr>
          </w:p>
        </w:tc>
        <w:tc>
          <w:tcPr>
            <w:tcW w:w="150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rPr>
              <w:t>$  1,452,274</w:t>
            </w:r>
          </w:p>
        </w:tc>
      </w:tr>
    </w:tbl>
    <w:p>
      <w:pPr>
        <w:spacing w:after="0" w:line="258" w:lineRule="exact"/>
        <w:rPr>
          <w:sz w:val="20"/>
          <w:szCs w:val="20"/>
          <w:color w:val="auto"/>
        </w:rPr>
      </w:pPr>
    </w:p>
    <w:p>
      <w:pPr>
        <w:ind w:left="2220" w:hanging="985"/>
        <w:spacing w:after="0"/>
        <w:tabs>
          <w:tab w:leader="none" w:pos="2220" w:val="left"/>
        </w:tabs>
        <w:numPr>
          <w:ilvl w:val="0"/>
          <w:numId w:val="3"/>
        </w:numPr>
        <w:rPr>
          <w:rFonts w:ascii="Arial" w:cs="Arial" w:eastAsia="Arial" w:hAnsi="Arial"/>
          <w:sz w:val="22"/>
          <w:szCs w:val="22"/>
          <w:color w:val="auto"/>
        </w:rPr>
      </w:pPr>
      <w:r>
        <w:rPr>
          <w:rFonts w:ascii="Arial" w:cs="Arial" w:eastAsia="Arial" w:hAnsi="Arial"/>
          <w:sz w:val="22"/>
          <w:szCs w:val="22"/>
          <w:color w:val="auto"/>
        </w:rPr>
        <w:t>130,263</w:t>
      </w:r>
    </w:p>
    <w:p>
      <w:pPr>
        <w:spacing w:after="0" w:line="21" w:lineRule="exact"/>
        <w:rPr>
          <w:rFonts w:ascii="Arial" w:cs="Arial" w:eastAsia="Arial" w:hAnsi="Arial"/>
          <w:sz w:val="22"/>
          <w:szCs w:val="22"/>
          <w:color w:val="auto"/>
        </w:rPr>
      </w:pPr>
    </w:p>
    <w:p>
      <w:pPr>
        <w:ind w:left="600"/>
        <w:spacing w:after="0"/>
        <w:rPr>
          <w:rFonts w:ascii="Arial" w:cs="Arial" w:eastAsia="Arial" w:hAnsi="Arial"/>
          <w:sz w:val="22"/>
          <w:szCs w:val="22"/>
          <w:color w:val="auto"/>
        </w:rPr>
      </w:pPr>
      <w:r>
        <w:rPr>
          <w:rFonts w:ascii="Arial" w:cs="Arial" w:eastAsia="Arial" w:hAnsi="Arial"/>
          <w:sz w:val="22"/>
          <w:szCs w:val="22"/>
          <w:color w:val="auto"/>
        </w:rPr>
        <w:t>196,724</w:t>
      </w:r>
      <w:r>
        <w:rPr>
          <w:rFonts w:ascii="Arial" w:cs="Arial" w:eastAsia="Arial" w:hAnsi="Arial"/>
          <w:sz w:val="19"/>
          <w:szCs w:val="19"/>
          <w:color w:val="auto"/>
        </w:rPr>
        <w:t>177,949</w:t>
      </w:r>
    </w:p>
    <w:p>
      <w:pPr>
        <w:spacing w:after="0" w:line="39" w:lineRule="exact"/>
        <w:rPr>
          <w:rFonts w:ascii="Arial" w:cs="Arial" w:eastAsia="Arial" w:hAnsi="Arial"/>
          <w:sz w:val="22"/>
          <w:szCs w:val="22"/>
          <w:color w:val="auto"/>
        </w:rPr>
      </w:pPr>
    </w:p>
    <w:p>
      <w:pPr>
        <w:ind w:left="600"/>
        <w:spacing w:after="0"/>
        <w:rPr>
          <w:rFonts w:ascii="Arial" w:cs="Arial" w:eastAsia="Arial" w:hAnsi="Arial"/>
          <w:sz w:val="22"/>
          <w:szCs w:val="22"/>
          <w:color w:val="auto"/>
        </w:rPr>
      </w:pPr>
      <w:r>
        <w:rPr>
          <w:rFonts w:ascii="Arial" w:cs="Arial" w:eastAsia="Arial" w:hAnsi="Arial"/>
          <w:sz w:val="22"/>
          <w:szCs w:val="22"/>
          <w:color w:val="auto"/>
        </w:rPr>
        <w:t>335,794</w:t>
      </w:r>
      <w:r>
        <w:rPr>
          <w:rFonts w:ascii="Arial" w:cs="Arial" w:eastAsia="Arial" w:hAnsi="Arial"/>
          <w:sz w:val="19"/>
          <w:szCs w:val="19"/>
          <w:color w:val="auto"/>
        </w:rPr>
        <w:t>320,840</w:t>
      </w:r>
    </w:p>
    <w:p>
      <w:pPr>
        <w:spacing w:after="0" w:line="71" w:lineRule="exact"/>
        <w:rPr>
          <w:sz w:val="20"/>
          <w:szCs w:val="20"/>
          <w:color w:val="auto"/>
        </w:rPr>
      </w:pPr>
    </w:p>
    <w:p>
      <w:pPr>
        <w:ind w:left="540"/>
        <w:spacing w:after="0"/>
        <w:tabs>
          <w:tab w:leader="none" w:pos="2140" w:val="left"/>
        </w:tabs>
        <w:rPr>
          <w:sz w:val="20"/>
          <w:szCs w:val="20"/>
          <w:color w:val="auto"/>
        </w:rPr>
      </w:pPr>
      <w:r>
        <w:rPr>
          <w:rFonts w:ascii="Arial" w:cs="Arial" w:eastAsia="Arial" w:hAnsi="Arial"/>
          <w:sz w:val="22"/>
          <w:szCs w:val="22"/>
          <w:color w:val="auto"/>
        </w:rPr>
        <w:t>(114,492)</w:t>
      </w:r>
      <w:r>
        <w:rPr>
          <w:sz w:val="20"/>
          <w:szCs w:val="20"/>
          <w:color w:val="auto"/>
        </w:rPr>
        <w:tab/>
      </w:r>
      <w:r>
        <w:rPr>
          <w:rFonts w:ascii="Arial" w:cs="Arial" w:eastAsia="Arial" w:hAnsi="Arial"/>
          <w:sz w:val="22"/>
          <w:szCs w:val="22"/>
          <w:color w:val="auto"/>
        </w:rPr>
        <w:t>(144,107)</w:t>
      </w:r>
    </w:p>
    <w:p>
      <w:pPr>
        <w:spacing w:after="0" w:line="44" w:lineRule="exact"/>
        <w:rPr>
          <w:sz w:val="20"/>
          <w:szCs w:val="20"/>
          <w:color w:val="auto"/>
        </w:rPr>
      </w:pPr>
    </w:p>
    <w:p>
      <w:pPr>
        <w:ind w:left="2360" w:hanging="1125"/>
        <w:spacing w:after="0"/>
        <w:tabs>
          <w:tab w:leader="none" w:pos="2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(1,774)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98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11" w:lineRule="exact"/>
        <w:rPr>
          <w:sz w:val="20"/>
          <w:szCs w:val="20"/>
          <w:color w:val="auto"/>
        </w:rPr>
      </w:pPr>
    </w:p>
    <w:p>
      <w:pPr>
        <w:ind w:left="100"/>
        <w:spacing w:after="0"/>
        <w:tabs>
          <w:tab w:leader="none" w:pos="420" w:val="left"/>
          <w:tab w:leader="none" w:pos="1700" w:val="left"/>
          <w:tab w:leader="none" w:pos="2040" w:val="left"/>
        </w:tabs>
        <w:rPr>
          <w:sz w:val="20"/>
          <w:szCs w:val="20"/>
          <w:color w:val="auto"/>
        </w:rPr>
      </w:pPr>
      <w:r>
        <w:rPr>
          <w:rFonts w:ascii="Arial" w:cs="Arial" w:eastAsia="Arial" w:hAnsi="Arial"/>
          <w:sz w:val="22"/>
          <w:szCs w:val="22"/>
          <w:color w:val="auto"/>
        </w:rPr>
        <w:t>$</w:t>
        <w:tab/>
        <w:t>1,975,770</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1,935,445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9888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88820" cy="34290"/>
                    </a:xfrm>
                    <a:prstGeom prst="rect">
                      <a:avLst/>
                    </a:prstGeom>
                    <a:noFill/>
                  </pic:spPr>
                </pic:pic>
              </a:graphicData>
            </a:graphic>
          </wp:anchor>
        </w:drawing>
      </w:r>
    </w:p>
    <w:p>
      <w:pPr>
        <w:spacing w:after="0" w:line="348" w:lineRule="exact"/>
        <w:rPr>
          <w:sz w:val="20"/>
          <w:szCs w:val="20"/>
          <w:color w:val="auto"/>
        </w:rPr>
      </w:pPr>
    </w:p>
    <w:p>
      <w:pPr>
        <w:ind w:left="440" w:hanging="335"/>
        <w:spacing w:after="0"/>
        <w:tabs>
          <w:tab w:leader="none" w:pos="440" w:val="left"/>
        </w:tabs>
        <w:numPr>
          <w:ilvl w:val="0"/>
          <w:numId w:val="5"/>
        </w:numPr>
        <w:rPr>
          <w:rFonts w:ascii="Arial" w:cs="Arial" w:eastAsia="Arial" w:hAnsi="Arial"/>
          <w:sz w:val="22"/>
          <w:szCs w:val="22"/>
          <w:color w:val="auto"/>
        </w:rPr>
      </w:pPr>
      <w:r>
        <w:rPr>
          <w:rFonts w:ascii="Arial" w:cs="Arial" w:eastAsia="Arial" w:hAnsi="Arial"/>
          <w:sz w:val="22"/>
          <w:szCs w:val="22"/>
          <w:color w:val="auto"/>
        </w:rPr>
        <w:t>5,303,066</w:t>
      </w:r>
      <w:r>
        <w:rPr>
          <w:rFonts w:ascii="Arial" w:cs="Arial" w:eastAsia="Arial" w:hAnsi="Arial"/>
          <w:sz w:val="21"/>
          <w:szCs w:val="21"/>
          <w:color w:val="auto"/>
        </w:rPr>
        <w:t>$  5,075,956</w:t>
      </w:r>
    </w:p>
    <w:p>
      <w:pPr>
        <w:spacing w:after="0" w:line="71" w:lineRule="exact"/>
        <w:rPr>
          <w:rFonts w:ascii="Arial" w:cs="Arial" w:eastAsia="Arial" w:hAnsi="Arial"/>
          <w:sz w:val="22"/>
          <w:szCs w:val="22"/>
          <w:color w:val="auto"/>
        </w:rPr>
      </w:pPr>
    </w:p>
    <w:p>
      <w:pPr>
        <w:ind w:left="380"/>
        <w:spacing w:after="0"/>
        <w:rPr>
          <w:rFonts w:ascii="Arial" w:cs="Arial" w:eastAsia="Arial" w:hAnsi="Arial"/>
          <w:sz w:val="22"/>
          <w:szCs w:val="22"/>
          <w:color w:val="auto"/>
        </w:rPr>
      </w:pPr>
      <w:r>
        <w:rPr>
          <w:rFonts w:ascii="Arial" w:cs="Arial" w:eastAsia="Arial" w:hAnsi="Arial"/>
          <w:sz w:val="22"/>
          <w:szCs w:val="22"/>
          <w:color w:val="auto"/>
        </w:rPr>
        <w:t>(1,684,662)</w:t>
      </w:r>
      <w:r>
        <w:rPr>
          <w:rFonts w:ascii="Arial" w:cs="Arial" w:eastAsia="Arial" w:hAnsi="Arial"/>
          <w:sz w:val="19"/>
          <w:szCs w:val="19"/>
          <w:color w:val="auto"/>
        </w:rPr>
        <w:t>(1,544,890)</w:t>
      </w:r>
    </w:p>
    <w:p>
      <w:pPr>
        <w:spacing w:after="0" w:line="71" w:lineRule="exact"/>
        <w:rPr>
          <w:rFonts w:ascii="Arial" w:cs="Arial" w:eastAsia="Arial" w:hAnsi="Arial"/>
          <w:sz w:val="22"/>
          <w:szCs w:val="22"/>
          <w:color w:val="auto"/>
        </w:rPr>
      </w:pPr>
    </w:p>
    <w:p>
      <w:pPr>
        <w:ind w:left="440"/>
        <w:spacing w:after="0"/>
        <w:rPr>
          <w:rFonts w:ascii="Arial" w:cs="Arial" w:eastAsia="Arial" w:hAnsi="Arial"/>
          <w:sz w:val="22"/>
          <w:szCs w:val="22"/>
          <w:color w:val="auto"/>
        </w:rPr>
      </w:pPr>
      <w:r>
        <w:rPr>
          <w:rFonts w:ascii="Arial" w:cs="Arial" w:eastAsia="Arial" w:hAnsi="Arial"/>
          <w:sz w:val="22"/>
          <w:szCs w:val="22"/>
          <w:color w:val="auto"/>
        </w:rPr>
        <w:t>2,014,764</w:t>
      </w:r>
      <w:r>
        <w:rPr>
          <w:rFonts w:ascii="Arial" w:cs="Arial" w:eastAsia="Arial" w:hAnsi="Arial"/>
          <w:sz w:val="19"/>
          <w:szCs w:val="19"/>
          <w:color w:val="auto"/>
        </w:rPr>
        <w:t>1,925,040</w:t>
      </w:r>
    </w:p>
    <w:p>
      <w:pPr>
        <w:spacing w:after="0" w:line="71" w:lineRule="exact"/>
        <w:rPr>
          <w:sz w:val="20"/>
          <w:szCs w:val="20"/>
          <w:color w:val="auto"/>
        </w:rPr>
      </w:pPr>
    </w:p>
    <w:p>
      <w:pPr>
        <w:ind w:left="600"/>
        <w:spacing w:after="0"/>
        <w:tabs>
          <w:tab w:leader="none" w:pos="2200" w:val="left"/>
        </w:tabs>
        <w:rPr>
          <w:sz w:val="20"/>
          <w:szCs w:val="20"/>
          <w:color w:val="auto"/>
        </w:rPr>
      </w:pPr>
      <w:r>
        <w:rPr>
          <w:rFonts w:ascii="Arial" w:cs="Arial" w:eastAsia="Arial" w:hAnsi="Arial"/>
          <w:sz w:val="22"/>
          <w:szCs w:val="22"/>
          <w:color w:val="auto"/>
        </w:rPr>
        <w:t>184,286</w:t>
      </w:r>
      <w:r>
        <w:rPr>
          <w:sz w:val="20"/>
          <w:szCs w:val="20"/>
          <w:color w:val="auto"/>
        </w:rPr>
        <w:tab/>
      </w:r>
      <w:r>
        <w:rPr>
          <w:rFonts w:ascii="Arial" w:cs="Arial" w:eastAsia="Arial" w:hAnsi="Arial"/>
          <w:sz w:val="22"/>
          <w:szCs w:val="22"/>
          <w:color w:val="auto"/>
        </w:rPr>
        <w:t>158,701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1988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8" w:lineRule="exact"/>
        <w:rPr>
          <w:sz w:val="20"/>
          <w:szCs w:val="20"/>
          <w:color w:val="auto"/>
        </w:rPr>
      </w:pPr>
    </w:p>
    <w:p>
      <w:pPr>
        <w:ind w:left="440" w:hanging="335"/>
        <w:spacing w:after="0"/>
        <w:tabs>
          <w:tab w:leader="none" w:pos="440" w:val="left"/>
        </w:tabs>
        <w:numPr>
          <w:ilvl w:val="0"/>
          <w:numId w:val="6"/>
        </w:numPr>
        <w:rPr>
          <w:rFonts w:ascii="Arial" w:cs="Arial" w:eastAsia="Arial" w:hAnsi="Arial"/>
          <w:sz w:val="22"/>
          <w:szCs w:val="22"/>
          <w:color w:val="auto"/>
        </w:rPr>
      </w:pPr>
      <w:r>
        <w:rPr>
          <w:rFonts w:ascii="Arial" w:cs="Arial" w:eastAsia="Arial" w:hAnsi="Arial"/>
          <w:sz w:val="22"/>
          <w:szCs w:val="22"/>
          <w:color w:val="auto"/>
        </w:rPr>
        <w:t>5,817,454</w:t>
      </w:r>
      <w:r>
        <w:rPr>
          <w:rFonts w:ascii="Arial" w:cs="Arial" w:eastAsia="Arial" w:hAnsi="Arial"/>
          <w:sz w:val="21"/>
          <w:szCs w:val="21"/>
          <w:color w:val="auto"/>
        </w:rPr>
        <w:t>$  5,614,807</w:t>
      </w:r>
    </w:p>
    <w:p>
      <w:pPr>
        <w:spacing w:after="0" w:line="341" w:lineRule="exact"/>
        <w:rPr>
          <w:rFonts w:ascii="Arial" w:cs="Arial" w:eastAsia="Arial" w:hAnsi="Arial"/>
          <w:sz w:val="22"/>
          <w:szCs w:val="22"/>
          <w:color w:val="auto"/>
        </w:rPr>
      </w:pPr>
    </w:p>
    <w:p>
      <w:pPr>
        <w:ind w:left="920"/>
        <w:spacing w:after="0"/>
        <w:rPr>
          <w:rFonts w:ascii="Arial" w:cs="Arial" w:eastAsia="Arial" w:hAnsi="Arial"/>
          <w:sz w:val="22"/>
          <w:szCs w:val="22"/>
          <w:color w:val="auto"/>
        </w:rPr>
      </w:pPr>
      <w:r>
        <w:rPr>
          <w:rFonts w:ascii="Arial" w:cs="Arial" w:eastAsia="Arial" w:hAnsi="Arial"/>
          <w:sz w:val="22"/>
          <w:szCs w:val="22"/>
          <w:color w:val="auto"/>
        </w:rPr>
        <w:t>34.0%</w:t>
      </w:r>
      <w:r>
        <w:rPr>
          <w:rFonts w:ascii="Arial" w:cs="Arial" w:eastAsia="Arial" w:hAnsi="Arial"/>
          <w:sz w:val="19"/>
          <w:szCs w:val="19"/>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-360680</wp:posOffset>
            </wp:positionV>
            <wp:extent cx="19888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88820" cy="34290"/>
                    </a:xfrm>
                    <a:prstGeom prst="rect">
                      <a:avLst/>
                    </a:prstGeom>
                    <a:noFill/>
                  </pic:spPr>
                </pic:pic>
              </a:graphicData>
            </a:graphic>
          </wp:anchor>
        </w:drawing>
      </w:r>
    </w:p>
    <w:p>
      <w:pPr>
        <w:sectPr>
          <w:pgSz w:w="11900" w:h="16838" w:orient="portrait"/>
          <w:cols w:equalWidth="0" w:num="2">
            <w:col w:w="4860" w:space="720"/>
            <w:col w:w="5600"/>
          </w:cols>
          <w:pgMar w:left="340" w:top="132" w:right="379" w:bottom="0" w:gutter="0" w:footer="0" w:header="0"/>
          <w:type w:val="continuous"/>
        </w:sectPr>
      </w:pPr>
    </w:p>
    <w:bookmarkStart w:id="7" w:name="page8"/>
    <w:bookmarkEnd w:id="7"/>
    <w:p>
      <w:pPr>
        <w:ind w:right="2660"/>
        <w:spacing w:after="0" w:line="219" w:lineRule="auto"/>
        <w:rPr>
          <w:sz w:val="20"/>
          <w:szCs w:val="20"/>
          <w:color w:val="auto"/>
        </w:rPr>
      </w:pPr>
      <w:r>
        <w:rPr>
          <w:rFonts w:ascii="Arial" w:cs="Arial" w:eastAsia="Arial" w:hAnsi="Arial"/>
          <w:sz w:val="35"/>
          <w:szCs w:val="35"/>
          <w:i w:val="1"/>
          <w:iCs w:val="1"/>
          <w:color w:val="auto"/>
          <w:vertAlign w:val="superscript"/>
        </w:rPr>
        <w:t>(1)</w:t>
      </w:r>
      <w:r>
        <w:rPr>
          <w:rFonts w:ascii="Arial" w:cs="Arial" w:eastAsia="Arial" w:hAnsi="Arial"/>
          <w:sz w:val="22"/>
          <w:szCs w:val="22"/>
          <w:i w:val="1"/>
          <w:iCs w:val="1"/>
          <w:color w:val="auto"/>
        </w:rPr>
        <w:t>Effective September 1, 2019, the Company adopted ASC 842, the new lease accounting standard that required the Company to recognize operating lease assets and liabilities on the balance sheet. The table below outlines the calculation of rent expense and reconciles rent expense to total lease cost, per ASC 842, the most directly comparable GAAP financial measure, for the thirty-six weeks ended May 9, 2020.</w:t>
      </w:r>
    </w:p>
    <w:p>
      <w:pPr>
        <w:sectPr>
          <w:pgSz w:w="11900" w:h="16838" w:orient="portrait"/>
          <w:cols w:equalWidth="0" w:num="1">
            <w:col w:w="11220"/>
          </w:cols>
          <w:pgMar w:left="340" w:top="125" w:right="339" w:bottom="0" w:gutter="0" w:footer="0" w:header="0"/>
        </w:sectPr>
      </w:pPr>
    </w:p>
    <w:p>
      <w:pPr>
        <w:spacing w:after="0" w:line="322" w:lineRule="exact"/>
        <w:rPr>
          <w:sz w:val="20"/>
          <w:szCs w:val="20"/>
          <w:color w:val="auto"/>
        </w:rPr>
      </w:pPr>
    </w:p>
    <w:p>
      <w:pPr>
        <w:ind w:left="780"/>
        <w:spacing w:after="0" w:line="258" w:lineRule="auto"/>
        <w:rPr>
          <w:sz w:val="20"/>
          <w:szCs w:val="20"/>
          <w:color w:val="auto"/>
        </w:rPr>
      </w:pPr>
      <w:r>
        <w:rPr>
          <w:rFonts w:ascii="Arial" w:cs="Arial" w:eastAsia="Arial" w:hAnsi="Arial"/>
          <w:sz w:val="22"/>
          <w:szCs w:val="22"/>
          <w:color w:val="auto"/>
        </w:rPr>
        <w:t>Total lease cost, per ASC 842, for the 36 weeks ended May 9, 2020 Less: Financing lease interest and amortization</w:t>
      </w:r>
    </w:p>
    <w:p>
      <w:pPr>
        <w:spacing w:after="0" w:line="1" w:lineRule="exact"/>
        <w:rPr>
          <w:sz w:val="20"/>
          <w:szCs w:val="20"/>
          <w:color w:val="auto"/>
        </w:rPr>
      </w:pPr>
    </w:p>
    <w:p>
      <w:pPr>
        <w:ind w:left="1280" w:right="1260" w:hanging="485"/>
        <w:spacing w:after="0" w:line="280" w:lineRule="auto"/>
        <w:rPr>
          <w:sz w:val="20"/>
          <w:szCs w:val="20"/>
          <w:color w:val="auto"/>
        </w:rPr>
      </w:pPr>
      <w:r>
        <w:rPr>
          <w:rFonts w:ascii="Arial" w:cs="Arial" w:eastAsia="Arial" w:hAnsi="Arial"/>
          <w:sz w:val="19"/>
          <w:szCs w:val="19"/>
          <w:color w:val="auto"/>
        </w:rPr>
        <w:t>Less: Variable operating lease components, related to insurance and common area maintenance for the 36 weeks ended May 9, 2020</w:t>
      </w:r>
    </w:p>
    <w:p>
      <w:pPr>
        <w:ind w:left="780"/>
        <w:spacing w:after="0"/>
        <w:rPr>
          <w:sz w:val="20"/>
          <w:szCs w:val="20"/>
          <w:color w:val="auto"/>
        </w:rPr>
      </w:pPr>
      <w:r>
        <w:rPr>
          <w:rFonts w:ascii="Arial" w:cs="Arial" w:eastAsia="Arial" w:hAnsi="Arial"/>
          <w:sz w:val="22"/>
          <w:szCs w:val="22"/>
          <w:color w:val="auto"/>
        </w:rPr>
        <w:t>Rent expense for the 36 weeks ended May 9, 2020</w:t>
      </w:r>
    </w:p>
    <w:p>
      <w:pPr>
        <w:spacing w:after="0" w:line="21" w:lineRule="exact"/>
        <w:rPr>
          <w:sz w:val="20"/>
          <w:szCs w:val="20"/>
          <w:color w:val="auto"/>
        </w:rPr>
      </w:pPr>
    </w:p>
    <w:p>
      <w:pPr>
        <w:ind w:left="780" w:right="1460" w:firstLine="486"/>
        <w:spacing w:after="0" w:line="274" w:lineRule="auto"/>
        <w:rPr>
          <w:sz w:val="20"/>
          <w:szCs w:val="20"/>
          <w:color w:val="auto"/>
        </w:rPr>
      </w:pPr>
      <w:r>
        <w:rPr>
          <w:rFonts w:ascii="Arial" w:cs="Arial" w:eastAsia="Arial" w:hAnsi="Arial"/>
          <w:sz w:val="19"/>
          <w:szCs w:val="19"/>
          <w:color w:val="auto"/>
        </w:rPr>
        <w:t>Rent expense for the 17 weeks ended August Add: 31, 2019, as previously reported prior to the</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adoption of ASC 842</w:t>
      </w:r>
    </w:p>
    <w:p>
      <w:pPr>
        <w:spacing w:after="0" w:line="40" w:lineRule="exact"/>
        <w:rPr>
          <w:sz w:val="20"/>
          <w:szCs w:val="20"/>
          <w:color w:val="auto"/>
        </w:rPr>
      </w:pPr>
    </w:p>
    <w:p>
      <w:pPr>
        <w:ind w:left="780"/>
        <w:spacing w:after="0"/>
        <w:rPr>
          <w:sz w:val="20"/>
          <w:szCs w:val="20"/>
          <w:color w:val="auto"/>
        </w:rPr>
      </w:pPr>
      <w:r>
        <w:rPr>
          <w:rFonts w:ascii="Arial" w:cs="Arial" w:eastAsia="Arial" w:hAnsi="Arial"/>
          <w:sz w:val="22"/>
          <w:szCs w:val="22"/>
          <w:color w:val="auto"/>
        </w:rPr>
        <w:t>Rent expense for the 53 weeks ended May 9, 2020</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500" w:hanging="495"/>
        <w:spacing w:after="0"/>
        <w:tabs>
          <w:tab w:leader="none" w:pos="500" w:val="left"/>
        </w:tabs>
        <w:numPr>
          <w:ilvl w:val="0"/>
          <w:numId w:val="7"/>
        </w:numPr>
        <w:rPr>
          <w:rFonts w:ascii="Arial" w:cs="Arial" w:eastAsia="Arial" w:hAnsi="Arial"/>
          <w:sz w:val="21"/>
          <w:szCs w:val="21"/>
          <w:color w:val="auto"/>
        </w:rPr>
      </w:pPr>
      <w:r>
        <w:rPr>
          <w:rFonts w:ascii="Arial" w:cs="Arial" w:eastAsia="Arial" w:hAnsi="Arial"/>
          <w:sz w:val="21"/>
          <w:szCs w:val="21"/>
          <w:color w:val="auto"/>
        </w:rPr>
        <w:t>286,626</w:t>
      </w:r>
    </w:p>
    <w:p>
      <w:pPr>
        <w:spacing w:after="0" w:line="32" w:lineRule="exact"/>
        <w:rPr>
          <w:rFonts w:ascii="Arial" w:cs="Arial" w:eastAsia="Arial" w:hAnsi="Arial"/>
          <w:sz w:val="21"/>
          <w:szCs w:val="21"/>
          <w:color w:val="auto"/>
        </w:rPr>
      </w:pPr>
    </w:p>
    <w:p>
      <w:pPr>
        <w:ind w:left="540"/>
        <w:spacing w:after="0"/>
        <w:rPr>
          <w:rFonts w:ascii="Arial" w:cs="Arial" w:eastAsia="Arial" w:hAnsi="Arial"/>
          <w:sz w:val="21"/>
          <w:szCs w:val="21"/>
          <w:color w:val="auto"/>
        </w:rPr>
      </w:pPr>
      <w:r>
        <w:rPr>
          <w:rFonts w:ascii="Arial" w:cs="Arial" w:eastAsia="Arial" w:hAnsi="Arial"/>
          <w:sz w:val="19"/>
          <w:szCs w:val="19"/>
          <w:color w:val="auto"/>
        </w:rPr>
        <w:t>(42,172)</w:t>
      </w:r>
    </w:p>
    <w:p>
      <w:pPr>
        <w:spacing w:after="0" w:line="200" w:lineRule="exact"/>
        <w:rPr>
          <w:sz w:val="20"/>
          <w:szCs w:val="20"/>
          <w:color w:val="auto"/>
        </w:rPr>
      </w:pPr>
    </w:p>
    <w:p>
      <w:pPr>
        <w:spacing w:after="0" w:line="333"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(17,127)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15875</wp:posOffset>
            </wp:positionV>
            <wp:extent cx="960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1" w:lineRule="exact"/>
        <w:rPr>
          <w:sz w:val="20"/>
          <w:szCs w:val="20"/>
          <w:color w:val="auto"/>
        </w:rPr>
      </w:pPr>
    </w:p>
    <w:p>
      <w:pPr>
        <w:ind w:left="500"/>
        <w:spacing w:after="0"/>
        <w:rPr>
          <w:sz w:val="20"/>
          <w:szCs w:val="20"/>
          <w:color w:val="auto"/>
        </w:rPr>
      </w:pPr>
      <w:r>
        <w:rPr>
          <w:rFonts w:ascii="Arial" w:cs="Arial" w:eastAsia="Arial" w:hAnsi="Arial"/>
          <w:sz w:val="21"/>
          <w:szCs w:val="21"/>
          <w:color w:val="auto"/>
        </w:rPr>
        <w:t>227,327</w:t>
      </w: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21"/>
          <w:szCs w:val="21"/>
          <w:color w:val="auto"/>
        </w:rPr>
        <w:t>108,467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22860</wp:posOffset>
            </wp:positionV>
            <wp:extent cx="960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 w:lineRule="exact"/>
        <w:rPr>
          <w:sz w:val="20"/>
          <w:szCs w:val="20"/>
          <w:color w:val="auto"/>
        </w:rPr>
      </w:pPr>
    </w:p>
    <w:p>
      <w:pPr>
        <w:ind w:left="500" w:hanging="495"/>
        <w:spacing w:after="0"/>
        <w:tabs>
          <w:tab w:leader="none" w:pos="500" w:val="left"/>
        </w:tabs>
        <w:numPr>
          <w:ilvl w:val="0"/>
          <w:numId w:val="8"/>
        </w:numPr>
        <w:rPr>
          <w:rFonts w:ascii="Arial" w:cs="Arial" w:eastAsia="Arial" w:hAnsi="Arial"/>
          <w:sz w:val="21"/>
          <w:szCs w:val="21"/>
          <w:color w:val="auto"/>
        </w:rPr>
      </w:pPr>
      <w:r>
        <w:rPr>
          <w:rFonts w:ascii="Arial" w:cs="Arial" w:eastAsia="Arial" w:hAnsi="Arial"/>
          <w:sz w:val="21"/>
          <w:szCs w:val="21"/>
          <w:color w:val="auto"/>
        </w:rPr>
        <w:t>335,794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22860</wp:posOffset>
            </wp:positionV>
            <wp:extent cx="960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48895</wp:posOffset>
            </wp:positionV>
            <wp:extent cx="960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6620" w:space="680"/>
            <w:col w:w="3920"/>
          </w:cols>
          <w:pgMar w:left="340" w:top="125" w:right="339" w:bottom="0" w:gutter="0" w:footer="0" w:header="0"/>
          <w:type w:val="continuous"/>
        </w:sectPr>
      </w:pPr>
    </w:p>
    <w:p>
      <w:pPr>
        <w:spacing w:after="0" w:line="121" w:lineRule="exact"/>
        <w:rPr>
          <w:sz w:val="20"/>
          <w:szCs w:val="20"/>
          <w:color w:val="auto"/>
        </w:rPr>
      </w:pPr>
    </w:p>
    <w:p>
      <w:pPr>
        <w:ind w:right="2440"/>
        <w:spacing w:after="0" w:line="213" w:lineRule="auto"/>
        <w:rPr>
          <w:sz w:val="20"/>
          <w:szCs w:val="20"/>
          <w:color w:val="auto"/>
        </w:rPr>
      </w:pPr>
      <w:r>
        <w:rPr>
          <w:rFonts w:ascii="Arial" w:cs="Arial" w:eastAsia="Arial" w:hAnsi="Arial"/>
          <w:sz w:val="35"/>
          <w:szCs w:val="35"/>
          <w:i w:val="1"/>
          <w:iCs w:val="1"/>
          <w:color w:val="auto"/>
          <w:vertAlign w:val="superscript"/>
        </w:rPr>
        <w:t>(2)</w:t>
      </w:r>
      <w:r>
        <w:rPr>
          <w:rFonts w:ascii="Arial" w:cs="Arial" w:eastAsia="Arial" w:hAnsi="Arial"/>
          <w:sz w:val="22"/>
          <w:szCs w:val="22"/>
          <w:i w:val="1"/>
          <w:iCs w:val="1"/>
          <w:color w:val="auto"/>
        </w:rPr>
        <w:t>Effective tax rate over trailing four quarters ended May 9, 2020 is 21.5%. Effective tax rate over the trailing four quarters ended May 4, 2019 is 28.1% for pension termination and 21.6% for interest and rent expense.</w:t>
      </w:r>
    </w:p>
    <w:p>
      <w:pPr>
        <w:spacing w:after="0" w:line="185" w:lineRule="auto"/>
        <w:rPr>
          <w:sz w:val="20"/>
          <w:szCs w:val="20"/>
          <w:color w:val="auto"/>
        </w:rPr>
      </w:pPr>
      <w:r>
        <w:rPr>
          <w:rFonts w:ascii="Arial" w:cs="Arial" w:eastAsia="Arial" w:hAnsi="Arial"/>
          <w:sz w:val="35"/>
          <w:szCs w:val="35"/>
          <w:i w:val="1"/>
          <w:iCs w:val="1"/>
          <w:color w:val="auto"/>
          <w:vertAlign w:val="superscript"/>
        </w:rPr>
        <w:t>(3)</w:t>
      </w:r>
      <w:r>
        <w:rPr>
          <w:rFonts w:ascii="Arial" w:cs="Arial" w:eastAsia="Arial" w:hAnsi="Arial"/>
          <w:sz w:val="22"/>
          <w:szCs w:val="22"/>
          <w:i w:val="1"/>
          <w:iCs w:val="1"/>
          <w:color w:val="auto"/>
        </w:rPr>
        <w:t>All averages are computed based on trailing 5 quarter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balances.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580" w:type="dxa"/>
            <w:vAlign w:val="bottom"/>
          </w:tcPr>
          <w:p>
            <w:pPr>
              <w:spacing w:after="0"/>
              <w:rPr>
                <w:sz w:val="20"/>
                <w:szCs w:val="20"/>
                <w:color w:val="auto"/>
              </w:rPr>
            </w:pPr>
            <w:r>
              <w:rPr>
                <w:rFonts w:ascii="Arial" w:cs="Arial" w:eastAsia="Arial" w:hAnsi="Arial"/>
                <w:sz w:val="22"/>
                <w:szCs w:val="22"/>
                <w:b w:val="1"/>
                <w:bCs w:val="1"/>
                <w:color w:val="auto"/>
              </w:rPr>
              <w:t>Other Selected Financial Information</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80" w:type="dxa"/>
            <w:vAlign w:val="bottom"/>
          </w:tcPr>
          <w:p>
            <w:pPr>
              <w:spacing w:after="0"/>
              <w:rPr>
                <w:sz w:val="20"/>
                <w:szCs w:val="20"/>
                <w:color w:val="auto"/>
              </w:rPr>
            </w:pPr>
            <w:r>
              <w:rPr>
                <w:rFonts w:ascii="Arial" w:cs="Arial" w:eastAsia="Arial" w:hAnsi="Arial"/>
                <w:sz w:val="22"/>
                <w:szCs w:val="22"/>
                <w:color w:val="auto"/>
              </w:rPr>
              <w:t>(in thousands)</w:t>
            </w: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22"/>
                <w:szCs w:val="22"/>
                <w:b w:val="1"/>
                <w:bCs w:val="1"/>
                <w:color w:val="auto"/>
                <w:w w:val="91"/>
              </w:rPr>
              <w:t>May 9, 2020</w:t>
            </w:r>
          </w:p>
        </w:tc>
        <w:tc>
          <w:tcPr>
            <w:tcW w:w="1700" w:type="dxa"/>
            <w:vAlign w:val="bottom"/>
            <w:gridSpan w:val="3"/>
            <w:vMerge w:val="restart"/>
          </w:tcPr>
          <w:p>
            <w:pPr>
              <w:jc w:val="center"/>
              <w:ind w:right="180"/>
              <w:spacing w:after="0"/>
              <w:rPr>
                <w:sz w:val="20"/>
                <w:szCs w:val="20"/>
                <w:color w:val="auto"/>
              </w:rPr>
            </w:pPr>
            <w:r>
              <w:rPr>
                <w:rFonts w:ascii="Arial" w:cs="Arial" w:eastAsia="Arial" w:hAnsi="Arial"/>
                <w:sz w:val="22"/>
                <w:szCs w:val="22"/>
                <w:b w:val="1"/>
                <w:bCs w:val="1"/>
                <w:color w:val="auto"/>
                <w:w w:val="91"/>
              </w:rPr>
              <w:t>May 4, 2019</w:t>
            </w: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5580" w:type="dxa"/>
            <w:vAlign w:val="bottom"/>
          </w:tcPr>
          <w:p>
            <w:pPr>
              <w:spacing w:after="0"/>
              <w:rPr>
                <w:sz w:val="23"/>
                <w:szCs w:val="23"/>
                <w:color w:val="auto"/>
              </w:rPr>
            </w:pPr>
          </w:p>
        </w:tc>
        <w:tc>
          <w:tcPr>
            <w:tcW w:w="1620" w:type="dxa"/>
            <w:vAlign w:val="bottom"/>
            <w:gridSpan w:val="3"/>
            <w:vMerge w:val="continue"/>
          </w:tcPr>
          <w:p>
            <w:pPr>
              <w:spacing w:after="0"/>
              <w:rPr>
                <w:sz w:val="23"/>
                <w:szCs w:val="23"/>
                <w:color w:val="auto"/>
              </w:rPr>
            </w:pPr>
          </w:p>
        </w:tc>
        <w:tc>
          <w:tcPr>
            <w:tcW w:w="1700" w:type="dxa"/>
            <w:vAlign w:val="bottom"/>
            <w:gridSpan w:val="3"/>
            <w:vMerge w:val="continue"/>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7"/>
        </w:trPr>
        <w:tc>
          <w:tcPr>
            <w:tcW w:w="5580" w:type="dxa"/>
            <w:vAlign w:val="bottom"/>
          </w:tcPr>
          <w:p>
            <w:pPr>
              <w:spacing w:after="0"/>
              <w:rPr>
                <w:sz w:val="20"/>
                <w:szCs w:val="20"/>
                <w:color w:val="auto"/>
              </w:rPr>
            </w:pPr>
            <w:r>
              <w:rPr>
                <w:rFonts w:ascii="Arial" w:cs="Arial" w:eastAsia="Arial" w:hAnsi="Arial"/>
                <w:sz w:val="22"/>
                <w:szCs w:val="22"/>
                <w:color w:val="auto"/>
              </w:rPr>
              <w:t>Cumulative share repurchases ($ since fiscal 1998)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w w:val="92"/>
              </w:rPr>
              <w:t>22,354,110</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w w:val="92"/>
              </w:rPr>
              <w:t>20,731,427</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80" w:type="dxa"/>
            <w:vAlign w:val="bottom"/>
          </w:tcPr>
          <w:p>
            <w:pPr>
              <w:spacing w:after="0"/>
              <w:rPr>
                <w:sz w:val="20"/>
                <w:szCs w:val="20"/>
                <w:color w:val="auto"/>
              </w:rPr>
            </w:pPr>
            <w:r>
              <w:rPr>
                <w:rFonts w:ascii="Arial" w:cs="Arial" w:eastAsia="Arial" w:hAnsi="Arial"/>
                <w:sz w:val="22"/>
                <w:szCs w:val="22"/>
                <w:color w:val="auto"/>
              </w:rPr>
              <w:t>Remaining share repurchase authorization ($)</w:t>
            </w:r>
          </w:p>
        </w:tc>
        <w:tc>
          <w:tcPr>
            <w:tcW w:w="26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795,890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1,168,573</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580" w:type="dxa"/>
            <w:vAlign w:val="bottom"/>
          </w:tcPr>
          <w:p>
            <w:pPr>
              <w:spacing w:after="0"/>
              <w:rPr>
                <w:sz w:val="20"/>
                <w:szCs w:val="20"/>
                <w:color w:val="auto"/>
              </w:rPr>
            </w:pPr>
            <w:r>
              <w:rPr>
                <w:rFonts w:ascii="Arial" w:cs="Arial" w:eastAsia="Arial" w:hAnsi="Arial"/>
                <w:sz w:val="22"/>
                <w:szCs w:val="22"/>
                <w:color w:val="auto"/>
              </w:rPr>
              <w:t>Cumulative share repurchases (shares since fiscal 1998)</w:t>
            </w:r>
          </w:p>
        </w:tc>
        <w:tc>
          <w:tcPr>
            <w:tcW w:w="26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147,696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146,236</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580" w:type="dxa"/>
            <w:vAlign w:val="bottom"/>
          </w:tcPr>
          <w:p>
            <w:pPr>
              <w:spacing w:after="0"/>
              <w:rPr>
                <w:sz w:val="20"/>
                <w:szCs w:val="20"/>
                <w:color w:val="auto"/>
              </w:rPr>
            </w:pPr>
            <w:r>
              <w:rPr>
                <w:rFonts w:ascii="Arial" w:cs="Arial" w:eastAsia="Arial" w:hAnsi="Arial"/>
                <w:sz w:val="22"/>
                <w:szCs w:val="22"/>
                <w:color w:val="auto"/>
              </w:rPr>
              <w:t>Shares outstanding, end of quarter</w:t>
            </w:r>
          </w:p>
        </w:tc>
        <w:tc>
          <w:tcPr>
            <w:tcW w:w="26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23,348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24,611</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3"/>
        </w:trPr>
        <w:tc>
          <w:tcPr>
            <w:tcW w:w="5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5"/>
              </w:rPr>
              <w:t>12 Weeks</w:t>
            </w:r>
          </w:p>
        </w:tc>
        <w:tc>
          <w:tcPr>
            <w:tcW w:w="260" w:type="dxa"/>
            <w:vAlign w:val="bottom"/>
          </w:tcPr>
          <w:p>
            <w:pPr>
              <w:spacing w:after="0"/>
              <w:rPr>
                <w:sz w:val="24"/>
                <w:szCs w:val="2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85"/>
              </w:rPr>
              <w:t>12 Weeks</w:t>
            </w:r>
          </w:p>
        </w:tc>
        <w:tc>
          <w:tcPr>
            <w:tcW w:w="1260" w:type="dxa"/>
            <w:vAlign w:val="bottom"/>
            <w:gridSpan w:val="2"/>
          </w:tcPr>
          <w:p>
            <w:pPr>
              <w:jc w:val="center"/>
              <w:ind w:right="200"/>
              <w:spacing w:after="0"/>
              <w:rPr>
                <w:sz w:val="20"/>
                <w:szCs w:val="20"/>
                <w:color w:val="auto"/>
              </w:rPr>
            </w:pPr>
            <w:r>
              <w:rPr>
                <w:rFonts w:ascii="Arial" w:cs="Arial" w:eastAsia="Arial" w:hAnsi="Arial"/>
                <w:sz w:val="22"/>
                <w:szCs w:val="22"/>
                <w:b w:val="1"/>
                <w:bCs w:val="1"/>
                <w:color w:val="auto"/>
                <w:w w:val="85"/>
              </w:rPr>
              <w:t>36 Weeks</w:t>
            </w: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85"/>
              </w:rPr>
              <w:t>36 Weeks</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22"/>
                <w:szCs w:val="22"/>
                <w:b w:val="1"/>
                <w:bCs w:val="1"/>
                <w:color w:val="auto"/>
                <w:w w:val="89"/>
              </w:rPr>
              <w:t>Ended</w:t>
            </w:r>
          </w:p>
        </w:tc>
        <w:tc>
          <w:tcPr>
            <w:tcW w:w="260" w:type="dxa"/>
            <w:vAlign w:val="bottom"/>
          </w:tcPr>
          <w:p>
            <w:pPr>
              <w:spacing w:after="0"/>
              <w:rPr>
                <w:sz w:val="23"/>
                <w:szCs w:val="23"/>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22"/>
                <w:szCs w:val="22"/>
                <w:b w:val="1"/>
                <w:bCs w:val="1"/>
                <w:color w:val="auto"/>
                <w:w w:val="89"/>
              </w:rPr>
              <w:t>Ended</w:t>
            </w:r>
          </w:p>
        </w:tc>
        <w:tc>
          <w:tcPr>
            <w:tcW w:w="1260" w:type="dxa"/>
            <w:vAlign w:val="bottom"/>
            <w:gridSpan w:val="2"/>
          </w:tcPr>
          <w:p>
            <w:pPr>
              <w:jc w:val="center"/>
              <w:ind w:right="180"/>
              <w:spacing w:after="0"/>
              <w:rPr>
                <w:sz w:val="20"/>
                <w:szCs w:val="20"/>
                <w:color w:val="auto"/>
              </w:rPr>
            </w:pPr>
            <w:r>
              <w:rPr>
                <w:rFonts w:ascii="Arial" w:cs="Arial" w:eastAsia="Arial" w:hAnsi="Arial"/>
                <w:sz w:val="22"/>
                <w:szCs w:val="22"/>
                <w:b w:val="1"/>
                <w:bCs w:val="1"/>
                <w:color w:val="auto"/>
                <w:w w:val="89"/>
              </w:rPr>
              <w:t>Ended</w:t>
            </w: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89"/>
              </w:rPr>
              <w:t>Ended</w:t>
            </w: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200"/>
              <w:spacing w:after="0" w:line="243" w:lineRule="exact"/>
              <w:rPr>
                <w:sz w:val="20"/>
                <w:szCs w:val="20"/>
                <w:color w:val="auto"/>
              </w:rPr>
            </w:pPr>
            <w:r>
              <w:rPr>
                <w:rFonts w:ascii="Arial" w:cs="Arial" w:eastAsia="Arial" w:hAnsi="Arial"/>
                <w:sz w:val="22"/>
                <w:szCs w:val="22"/>
                <w:b w:val="1"/>
                <w:bCs w:val="1"/>
                <w:color w:val="auto"/>
                <w:w w:val="92"/>
              </w:rPr>
              <w:t>May 9,</w:t>
            </w:r>
          </w:p>
        </w:tc>
        <w:tc>
          <w:tcPr>
            <w:tcW w:w="10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5"/>
              </w:rPr>
              <w:t>May 4,</w:t>
            </w:r>
          </w:p>
        </w:tc>
        <w:tc>
          <w:tcPr>
            <w:tcW w:w="0" w:type="dxa"/>
            <w:vAlign w:val="bottom"/>
          </w:tcPr>
          <w:p>
            <w:pPr>
              <w:spacing w:after="0"/>
              <w:rPr>
                <w:sz w:val="1"/>
                <w:szCs w:val="1"/>
                <w:color w:val="auto"/>
              </w:rPr>
            </w:pPr>
          </w:p>
        </w:tc>
      </w:tr>
      <w:tr>
        <w:trPr>
          <w:trHeight w:val="282"/>
        </w:trPr>
        <w:tc>
          <w:tcPr>
            <w:tcW w:w="5580" w:type="dxa"/>
            <w:vAlign w:val="bottom"/>
          </w:tcPr>
          <w:p>
            <w:pPr>
              <w:spacing w:after="0"/>
              <w:rPr>
                <w:sz w:val="24"/>
                <w:szCs w:val="2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22"/>
                <w:szCs w:val="22"/>
                <w:b w:val="1"/>
                <w:bCs w:val="1"/>
                <w:color w:val="auto"/>
                <w:w w:val="91"/>
              </w:rPr>
              <w:t>May 9, 2020</w:t>
            </w:r>
          </w:p>
        </w:tc>
        <w:tc>
          <w:tcPr>
            <w:tcW w:w="1700" w:type="dxa"/>
            <w:vAlign w:val="bottom"/>
            <w:gridSpan w:val="3"/>
          </w:tcPr>
          <w:p>
            <w:pPr>
              <w:jc w:val="center"/>
              <w:ind w:right="180"/>
              <w:spacing w:after="0"/>
              <w:rPr>
                <w:sz w:val="20"/>
                <w:szCs w:val="20"/>
                <w:color w:val="auto"/>
              </w:rPr>
            </w:pPr>
            <w:r>
              <w:rPr>
                <w:rFonts w:ascii="Arial" w:cs="Arial" w:eastAsia="Arial" w:hAnsi="Arial"/>
                <w:sz w:val="22"/>
                <w:szCs w:val="22"/>
                <w:b w:val="1"/>
                <w:bCs w:val="1"/>
                <w:color w:val="auto"/>
                <w:w w:val="91"/>
              </w:rPr>
              <w:t>May 4, 2019</w:t>
            </w: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85"/>
              </w:rPr>
              <w:t>2020</w:t>
            </w:r>
          </w:p>
        </w:tc>
        <w:tc>
          <w:tcPr>
            <w:tcW w:w="2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22"/>
                <w:szCs w:val="22"/>
                <w:b w:val="1"/>
                <w:bCs w:val="1"/>
                <w:color w:val="auto"/>
                <w:w w:val="85"/>
              </w:rPr>
              <w:t>2019</w:t>
            </w:r>
          </w:p>
        </w:tc>
        <w:tc>
          <w:tcPr>
            <w:tcW w:w="0" w:type="dxa"/>
            <w:vAlign w:val="bottom"/>
          </w:tcPr>
          <w:p>
            <w:pPr>
              <w:spacing w:after="0"/>
              <w:rPr>
                <w:sz w:val="1"/>
                <w:szCs w:val="1"/>
                <w:color w:val="auto"/>
              </w:rPr>
            </w:pPr>
          </w:p>
        </w:tc>
      </w:tr>
      <w:tr>
        <w:trPr>
          <w:trHeight w:val="532"/>
        </w:trPr>
        <w:tc>
          <w:tcPr>
            <w:tcW w:w="5580" w:type="dxa"/>
            <w:vAlign w:val="bottom"/>
          </w:tcPr>
          <w:p>
            <w:pPr>
              <w:spacing w:after="0"/>
              <w:rPr>
                <w:sz w:val="20"/>
                <w:szCs w:val="20"/>
                <w:color w:val="auto"/>
              </w:rPr>
            </w:pPr>
            <w:r>
              <w:rPr>
                <w:rFonts w:ascii="Arial" w:cs="Arial" w:eastAsia="Arial" w:hAnsi="Arial"/>
                <w:sz w:val="22"/>
                <w:szCs w:val="22"/>
                <w:color w:val="auto"/>
              </w:rPr>
              <w:t>Depreciation and amortization</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rPr>
              <w:t>91,695</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22"/>
                <w:szCs w:val="22"/>
                <w:color w:val="auto"/>
              </w:rPr>
              <w:t>84,888</w:t>
            </w:r>
          </w:p>
        </w:tc>
        <w:tc>
          <w:tcPr>
            <w:tcW w:w="200" w:type="dxa"/>
            <w:vAlign w:val="bottom"/>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9"/>
              </w:rPr>
              <w:t>$  272,115</w:t>
            </w:r>
          </w:p>
        </w:tc>
        <w:tc>
          <w:tcPr>
            <w:tcW w:w="200" w:type="dxa"/>
            <w:vAlign w:val="bottom"/>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w w:val="98"/>
              </w:rPr>
              <w:t>$  251,118</w:t>
            </w:r>
          </w:p>
        </w:tc>
        <w:tc>
          <w:tcPr>
            <w:tcW w:w="0" w:type="dxa"/>
            <w:vAlign w:val="bottom"/>
          </w:tcPr>
          <w:p>
            <w:pPr>
              <w:spacing w:after="0"/>
              <w:rPr>
                <w:sz w:val="1"/>
                <w:szCs w:val="1"/>
                <w:color w:val="auto"/>
              </w:rPr>
            </w:pPr>
          </w:p>
        </w:tc>
      </w:tr>
      <w:tr>
        <w:trPr>
          <w:trHeight w:val="540"/>
        </w:trPr>
        <w:tc>
          <w:tcPr>
            <w:tcW w:w="5580" w:type="dxa"/>
            <w:vAlign w:val="bottom"/>
          </w:tcPr>
          <w:p>
            <w:pPr>
              <w:spacing w:after="0"/>
              <w:rPr>
                <w:sz w:val="20"/>
                <w:szCs w:val="20"/>
                <w:color w:val="auto"/>
              </w:rPr>
            </w:pPr>
            <w:r>
              <w:rPr>
                <w:rFonts w:ascii="Arial" w:cs="Arial" w:eastAsia="Arial" w:hAnsi="Arial"/>
                <w:sz w:val="22"/>
                <w:szCs w:val="22"/>
                <w:color w:val="auto"/>
              </w:rPr>
              <w:t>Capital spending</w:t>
            </w:r>
          </w:p>
        </w:tc>
        <w:tc>
          <w:tcPr>
            <w:tcW w:w="26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83,325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22"/>
                <w:szCs w:val="22"/>
                <w:color w:val="auto"/>
              </w:rPr>
              <w:t>118,015</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273,888</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313,847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AutoZone's 3rd Quarter Highlights - Fiscal 2020</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Operating Highlights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20" w:type="dxa"/>
            <w:vAlign w:val="bottom"/>
            <w:gridSpan w:val="2"/>
          </w:tcPr>
          <w:p>
            <w:pPr>
              <w:spacing w:after="0"/>
              <w:rPr>
                <w:sz w:val="20"/>
                <w:szCs w:val="20"/>
                <w:color w:val="auto"/>
              </w:rPr>
            </w:pPr>
            <w:r>
              <w:rPr>
                <w:rFonts w:ascii="Arial" w:cs="Arial" w:eastAsia="Arial" w:hAnsi="Arial"/>
                <w:sz w:val="22"/>
                <w:szCs w:val="22"/>
                <w:b w:val="1"/>
                <w:bCs w:val="1"/>
                <w:color w:val="auto"/>
              </w:rPr>
              <w:t>Store Count &amp; Square Footage</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284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87"/>
              </w:rPr>
              <w:t>12 Weeks</w:t>
            </w:r>
          </w:p>
        </w:tc>
        <w:tc>
          <w:tcPr>
            <w:tcW w:w="170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85"/>
              </w:rPr>
              <w:t>12 Weeks</w:t>
            </w:r>
          </w:p>
        </w:tc>
        <w:tc>
          <w:tcPr>
            <w:tcW w:w="166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87"/>
              </w:rPr>
              <w:t>36 Weeks</w:t>
            </w: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7"/>
              </w:rPr>
              <w:t>36 Weeks</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89"/>
              </w:rPr>
              <w:t>Ended</w:t>
            </w:r>
          </w:p>
        </w:tc>
        <w:tc>
          <w:tcPr>
            <w:tcW w:w="170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89"/>
              </w:rPr>
              <w:t>Ended</w:t>
            </w:r>
          </w:p>
        </w:tc>
        <w:tc>
          <w:tcPr>
            <w:tcW w:w="166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89"/>
              </w:rPr>
              <w:t>Ended</w:t>
            </w: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9"/>
              </w:rPr>
              <w:t>Ended</w:t>
            </w:r>
          </w:p>
        </w:tc>
        <w:tc>
          <w:tcPr>
            <w:tcW w:w="0" w:type="dxa"/>
            <w:vAlign w:val="bottom"/>
          </w:tcPr>
          <w:p>
            <w:pPr>
              <w:spacing w:after="0"/>
              <w:rPr>
                <w:sz w:val="1"/>
                <w:szCs w:val="1"/>
                <w:color w:val="auto"/>
              </w:rPr>
            </w:pPr>
          </w:p>
        </w:tc>
      </w:tr>
      <w:tr>
        <w:trPr>
          <w:trHeight w:val="282"/>
        </w:trPr>
        <w:tc>
          <w:tcPr>
            <w:tcW w:w="4720" w:type="dxa"/>
            <w:vAlign w:val="bottom"/>
            <w:gridSpan w:val="2"/>
            <w:vMerge w:val="restart"/>
          </w:tcPr>
          <w:p>
            <w:pPr>
              <w:spacing w:after="0"/>
              <w:rPr>
                <w:sz w:val="20"/>
                <w:szCs w:val="20"/>
                <w:color w:val="auto"/>
              </w:rPr>
            </w:pPr>
            <w:r>
              <w:rPr>
                <w:rFonts w:ascii="Arial" w:cs="Arial" w:eastAsia="Arial" w:hAnsi="Arial"/>
                <w:sz w:val="22"/>
                <w:szCs w:val="22"/>
                <w:b w:val="1"/>
                <w:bCs w:val="1"/>
                <w:color w:val="auto"/>
              </w:rPr>
              <w:t>Domestic:</w:t>
            </w:r>
          </w:p>
        </w:tc>
        <w:tc>
          <w:tcPr>
            <w:tcW w:w="170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91"/>
              </w:rPr>
              <w:t>May 9, 2020</w:t>
            </w:r>
          </w:p>
        </w:tc>
        <w:tc>
          <w:tcPr>
            <w:tcW w:w="1700" w:type="dxa"/>
            <w:vAlign w:val="bottom"/>
            <w:gridSpan w:val="2"/>
          </w:tcPr>
          <w:p>
            <w:pPr>
              <w:jc w:val="center"/>
              <w:ind w:right="240"/>
              <w:spacing w:after="0"/>
              <w:rPr>
                <w:sz w:val="20"/>
                <w:szCs w:val="20"/>
                <w:color w:val="auto"/>
              </w:rPr>
            </w:pPr>
            <w:r>
              <w:rPr>
                <w:rFonts w:ascii="Arial" w:cs="Arial" w:eastAsia="Arial" w:hAnsi="Arial"/>
                <w:sz w:val="22"/>
                <w:szCs w:val="22"/>
                <w:b w:val="1"/>
                <w:bCs w:val="1"/>
                <w:color w:val="auto"/>
                <w:w w:val="93"/>
              </w:rPr>
              <w:t>May 4, 2019</w:t>
            </w:r>
          </w:p>
        </w:tc>
        <w:tc>
          <w:tcPr>
            <w:tcW w:w="166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91"/>
              </w:rPr>
              <w:t>May 9, 2020</w:t>
            </w: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91"/>
              </w:rPr>
              <w:t>May 4, 2019</w:t>
            </w:r>
          </w:p>
        </w:tc>
        <w:tc>
          <w:tcPr>
            <w:tcW w:w="0" w:type="dxa"/>
            <w:vAlign w:val="bottom"/>
          </w:tcPr>
          <w:p>
            <w:pPr>
              <w:spacing w:after="0"/>
              <w:rPr>
                <w:sz w:val="1"/>
                <w:szCs w:val="1"/>
                <w:color w:val="auto"/>
              </w:rPr>
            </w:pPr>
          </w:p>
        </w:tc>
      </w:tr>
      <w:tr>
        <w:trPr>
          <w:trHeight w:val="248"/>
        </w:trPr>
        <w:tc>
          <w:tcPr>
            <w:tcW w:w="4720" w:type="dxa"/>
            <w:vAlign w:val="bottom"/>
            <w:gridSpan w:val="2"/>
            <w:vMerge w:val="continue"/>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4720" w:type="dxa"/>
            <w:vAlign w:val="bottom"/>
            <w:gridSpan w:val="2"/>
          </w:tcPr>
          <w:p>
            <w:pPr>
              <w:ind w:left="320"/>
              <w:spacing w:after="0"/>
              <w:rPr>
                <w:sz w:val="20"/>
                <w:szCs w:val="20"/>
                <w:color w:val="auto"/>
              </w:rPr>
            </w:pPr>
            <w:r>
              <w:rPr>
                <w:rFonts w:ascii="Arial" w:cs="Arial" w:eastAsia="Arial" w:hAnsi="Arial"/>
                <w:sz w:val="22"/>
                <w:szCs w:val="22"/>
                <w:color w:val="auto"/>
              </w:rPr>
              <w:t>Beginning stores</w:t>
            </w:r>
          </w:p>
        </w:tc>
        <w:tc>
          <w:tcPr>
            <w:tcW w:w="1460" w:type="dxa"/>
            <w:vAlign w:val="bottom"/>
          </w:tcPr>
          <w:p>
            <w:pPr>
              <w:jc w:val="right"/>
              <w:spacing w:after="0"/>
              <w:rPr>
                <w:sz w:val="20"/>
                <w:szCs w:val="20"/>
                <w:color w:val="auto"/>
              </w:rPr>
            </w:pPr>
            <w:r>
              <w:rPr>
                <w:rFonts w:ascii="Arial" w:cs="Arial" w:eastAsia="Arial" w:hAnsi="Arial"/>
                <w:sz w:val="22"/>
                <w:szCs w:val="22"/>
                <w:color w:val="auto"/>
              </w:rPr>
              <w:t>5,815</w:t>
            </w:r>
          </w:p>
        </w:tc>
        <w:tc>
          <w:tcPr>
            <w:tcW w:w="240" w:type="dxa"/>
            <w:vAlign w:val="bottom"/>
          </w:tcPr>
          <w:p>
            <w:pPr>
              <w:spacing w:after="0"/>
              <w:rPr>
                <w:sz w:val="24"/>
                <w:szCs w:val="24"/>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5,651</w:t>
            </w: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5,772</w:t>
            </w: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5,618</w:t>
            </w:r>
          </w:p>
        </w:tc>
        <w:tc>
          <w:tcPr>
            <w:tcW w:w="0" w:type="dxa"/>
            <w:vAlign w:val="bottom"/>
          </w:tcPr>
          <w:p>
            <w:pPr>
              <w:spacing w:after="0"/>
              <w:rPr>
                <w:sz w:val="1"/>
                <w:szCs w:val="1"/>
                <w:color w:val="auto"/>
              </w:rPr>
            </w:pPr>
          </w:p>
        </w:tc>
      </w:tr>
      <w:tr>
        <w:trPr>
          <w:trHeight w:val="274"/>
        </w:trPr>
        <w:tc>
          <w:tcPr>
            <w:tcW w:w="4720" w:type="dxa"/>
            <w:vAlign w:val="bottom"/>
            <w:gridSpan w:val="2"/>
          </w:tcPr>
          <w:p>
            <w:pPr>
              <w:ind w:left="320"/>
              <w:spacing w:after="0"/>
              <w:rPr>
                <w:sz w:val="20"/>
                <w:szCs w:val="20"/>
                <w:color w:val="auto"/>
              </w:rPr>
            </w:pPr>
            <w:r>
              <w:rPr>
                <w:rFonts w:ascii="Arial" w:cs="Arial" w:eastAsia="Arial" w:hAnsi="Arial"/>
                <w:sz w:val="22"/>
                <w:szCs w:val="22"/>
                <w:color w:val="auto"/>
              </w:rPr>
              <w:t>Stores opened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21</w:t>
            </w:r>
          </w:p>
        </w:tc>
        <w:tc>
          <w:tcPr>
            <w:tcW w:w="240" w:type="dxa"/>
            <w:vAlign w:val="bottom"/>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35</w:t>
            </w:r>
          </w:p>
        </w:tc>
        <w:tc>
          <w:tcPr>
            <w:tcW w:w="240" w:type="dxa"/>
            <w:vAlign w:val="bottom"/>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w:t>
            </w:r>
          </w:p>
        </w:tc>
        <w:tc>
          <w:tcPr>
            <w:tcW w:w="220" w:type="dxa"/>
            <w:vAlign w:val="bottom"/>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w:t>
            </w:r>
          </w:p>
        </w:tc>
        <w:tc>
          <w:tcPr>
            <w:tcW w:w="0" w:type="dxa"/>
            <w:vAlign w:val="bottom"/>
          </w:tcPr>
          <w:p>
            <w:pPr>
              <w:spacing w:after="0"/>
              <w:rPr>
                <w:sz w:val="1"/>
                <w:szCs w:val="1"/>
                <w:color w:val="auto"/>
              </w:rPr>
            </w:pPr>
          </w:p>
        </w:tc>
      </w:tr>
      <w:tr>
        <w:trPr>
          <w:trHeight w:val="271"/>
        </w:trPr>
        <w:tc>
          <w:tcPr>
            <w:tcW w:w="4720" w:type="dxa"/>
            <w:vAlign w:val="bottom"/>
            <w:gridSpan w:val="2"/>
          </w:tcPr>
          <w:p>
            <w:pPr>
              <w:ind w:left="320"/>
              <w:spacing w:after="0"/>
              <w:rPr>
                <w:sz w:val="20"/>
                <w:szCs w:val="20"/>
                <w:color w:val="auto"/>
              </w:rPr>
            </w:pPr>
            <w:r>
              <w:rPr>
                <w:rFonts w:ascii="Arial" w:cs="Arial" w:eastAsia="Arial" w:hAnsi="Arial"/>
                <w:sz w:val="22"/>
                <w:szCs w:val="22"/>
                <w:color w:val="auto"/>
              </w:rPr>
              <w:t>Ending domestic stores</w:t>
            </w:r>
          </w:p>
        </w:tc>
        <w:tc>
          <w:tcPr>
            <w:tcW w:w="1460" w:type="dxa"/>
            <w:vAlign w:val="bottom"/>
          </w:tcPr>
          <w:p>
            <w:pPr>
              <w:jc w:val="right"/>
              <w:spacing w:after="0"/>
              <w:rPr>
                <w:sz w:val="20"/>
                <w:szCs w:val="20"/>
                <w:color w:val="auto"/>
              </w:rPr>
            </w:pPr>
            <w:r>
              <w:rPr>
                <w:rFonts w:ascii="Arial" w:cs="Arial" w:eastAsia="Arial" w:hAnsi="Arial"/>
                <w:sz w:val="22"/>
                <w:szCs w:val="22"/>
                <w:color w:val="auto"/>
              </w:rPr>
              <w:t>5,836</w:t>
            </w:r>
          </w:p>
        </w:tc>
        <w:tc>
          <w:tcPr>
            <w:tcW w:w="24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22"/>
                <w:szCs w:val="22"/>
                <w:color w:val="auto"/>
              </w:rPr>
              <w:t>5,686</w:t>
            </w:r>
          </w:p>
        </w:tc>
        <w:tc>
          <w:tcPr>
            <w:tcW w:w="2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5,836</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2"/>
                <w:szCs w:val="22"/>
                <w:color w:val="auto"/>
              </w:rPr>
              <w:t>5,686</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5" w:right="3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Relocated stores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54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Stores with commercial programs</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4,950</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4,831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4,950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4,831</w:t>
            </w:r>
          </w:p>
        </w:tc>
        <w:tc>
          <w:tcPr>
            <w:tcW w:w="0" w:type="dxa"/>
            <w:vAlign w:val="bottom"/>
          </w:tcPr>
          <w:p>
            <w:pPr>
              <w:spacing w:after="0"/>
              <w:rPr>
                <w:sz w:val="1"/>
                <w:szCs w:val="1"/>
                <w:color w:val="auto"/>
              </w:rPr>
            </w:pPr>
          </w:p>
        </w:tc>
      </w:tr>
      <w:tr>
        <w:trPr>
          <w:trHeight w:val="54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Square footage (in thousands)</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38,223</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37,203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38,223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37,203</w:t>
            </w:r>
          </w:p>
        </w:tc>
        <w:tc>
          <w:tcPr>
            <w:tcW w:w="0" w:type="dxa"/>
            <w:vAlign w:val="bottom"/>
          </w:tcPr>
          <w:p>
            <w:pPr>
              <w:spacing w:after="0"/>
              <w:rPr>
                <w:sz w:val="1"/>
                <w:szCs w:val="1"/>
                <w:color w:val="auto"/>
              </w:rPr>
            </w:pPr>
          </w:p>
        </w:tc>
      </w:tr>
      <w:tr>
        <w:trPr>
          <w:trHeight w:val="536"/>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Mexico:</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Beginning stores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608</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568</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564</w:t>
            </w:r>
          </w:p>
        </w:tc>
        <w:tc>
          <w:tcPr>
            <w:tcW w:w="0" w:type="dxa"/>
            <w:vAlign w:val="bottom"/>
          </w:tcPr>
          <w:p>
            <w:pPr>
              <w:spacing w:after="0"/>
              <w:rPr>
                <w:sz w:val="1"/>
                <w:szCs w:val="1"/>
                <w:color w:val="auto"/>
              </w:rPr>
            </w:pPr>
          </w:p>
        </w:tc>
      </w:tr>
      <w:tr>
        <w:trPr>
          <w:trHeight w:val="274"/>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Stores opened</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8</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71"/>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Ending Mexico stores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610</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576</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610</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576</w:t>
            </w:r>
          </w:p>
        </w:tc>
        <w:tc>
          <w:tcPr>
            <w:tcW w:w="0" w:type="dxa"/>
            <w:vAlign w:val="bottom"/>
          </w:tcPr>
          <w:p>
            <w:pPr>
              <w:spacing w:after="0"/>
              <w:rPr>
                <w:sz w:val="1"/>
                <w:szCs w:val="1"/>
                <w:color w:val="auto"/>
              </w:rPr>
            </w:pPr>
          </w:p>
        </w:tc>
      </w:tr>
      <w:tr>
        <w:trPr>
          <w:trHeight w:val="528"/>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Brazil:</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Beginning stores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38</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22</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74"/>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Stores opened</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3</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67"/>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Ending Brazil stores</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w:t>
            </w: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w:t>
            </w:r>
          </w:p>
        </w:tc>
        <w:tc>
          <w:tcPr>
            <w:tcW w:w="0" w:type="dxa"/>
            <w:vAlign w:val="bottom"/>
          </w:tcPr>
          <w:p>
            <w:pPr>
              <w:spacing w:after="0"/>
              <w:rPr>
                <w:sz w:val="1"/>
                <w:szCs w:val="1"/>
                <w:color w:val="auto"/>
              </w:rPr>
            </w:pPr>
          </w:p>
        </w:tc>
      </w:tr>
      <w:tr>
        <w:trPr>
          <w:trHeight w:val="534"/>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Total</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6,484</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6,287</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6,484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6,287</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6"/>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Square footage (in thousands)</w:t>
            </w: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43,045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41,653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43,045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41,653</w:t>
            </w:r>
          </w:p>
        </w:tc>
        <w:tc>
          <w:tcPr>
            <w:tcW w:w="0" w:type="dxa"/>
            <w:vAlign w:val="bottom"/>
          </w:tcPr>
          <w:p>
            <w:pPr>
              <w:spacing w:after="0"/>
              <w:rPr>
                <w:sz w:val="1"/>
                <w:szCs w:val="1"/>
                <w:color w:val="auto"/>
              </w:rPr>
            </w:pPr>
          </w:p>
        </w:tc>
      </w:tr>
      <w:tr>
        <w:trPr>
          <w:trHeight w:val="274"/>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Square footage per store</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6,639</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6,625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6,639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6,625</w:t>
            </w:r>
          </w:p>
        </w:tc>
        <w:tc>
          <w:tcPr>
            <w:tcW w:w="0" w:type="dxa"/>
            <w:vAlign w:val="bottom"/>
          </w:tcPr>
          <w:p>
            <w:pPr>
              <w:spacing w:after="0"/>
              <w:rPr>
                <w:sz w:val="1"/>
                <w:szCs w:val="1"/>
                <w:color w:val="auto"/>
              </w:rPr>
            </w:pPr>
          </w:p>
        </w:tc>
      </w:tr>
      <w:tr>
        <w:trPr>
          <w:trHeight w:val="489"/>
        </w:trPr>
        <w:tc>
          <w:tcPr>
            <w:tcW w:w="13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2"/>
              </w:rPr>
              <w:t>Sales Statistics</w:t>
            </w:r>
          </w:p>
        </w:tc>
        <w:tc>
          <w:tcPr>
            <w:tcW w:w="336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720" w:type="dxa"/>
            <w:vAlign w:val="bottom"/>
            <w:gridSpan w:val="3"/>
          </w:tcPr>
          <w:p>
            <w:pPr>
              <w:spacing w:after="0"/>
              <w:rPr>
                <w:sz w:val="20"/>
                <w:szCs w:val="20"/>
                <w:color w:val="auto"/>
              </w:rPr>
            </w:pPr>
            <w:r>
              <w:rPr>
                <w:rFonts w:ascii="Arial" w:cs="Arial" w:eastAsia="Arial" w:hAnsi="Arial"/>
                <w:sz w:val="22"/>
                <w:szCs w:val="22"/>
                <w:color w:val="auto"/>
                <w:w w:val="97"/>
              </w:rPr>
              <w:t>($ in thousands, except sales per average square</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720" w:type="dxa"/>
            <w:vAlign w:val="bottom"/>
            <w:gridSpan w:val="3"/>
          </w:tcPr>
          <w:p>
            <w:pPr>
              <w:spacing w:after="0"/>
              <w:rPr>
                <w:sz w:val="20"/>
                <w:szCs w:val="20"/>
                <w:color w:val="auto"/>
              </w:rPr>
            </w:pPr>
            <w:r>
              <w:rPr>
                <w:rFonts w:ascii="Arial" w:cs="Arial" w:eastAsia="Arial" w:hAnsi="Arial"/>
                <w:sz w:val="22"/>
                <w:szCs w:val="22"/>
                <w:color w:val="auto"/>
              </w:rPr>
              <w:t>foot)</w:t>
            </w:r>
          </w:p>
        </w:tc>
        <w:tc>
          <w:tcPr>
            <w:tcW w:w="260" w:type="dxa"/>
            <w:vAlign w:val="bottom"/>
          </w:tcPr>
          <w:p>
            <w:pPr>
              <w:spacing w:after="0"/>
              <w:rPr>
                <w:sz w:val="23"/>
                <w:szCs w:val="23"/>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22"/>
                <w:szCs w:val="22"/>
                <w:b w:val="1"/>
                <w:bCs w:val="1"/>
                <w:color w:val="auto"/>
                <w:w w:val="87"/>
              </w:rPr>
              <w:t>12 Weeks</w:t>
            </w:r>
          </w:p>
        </w:tc>
        <w:tc>
          <w:tcPr>
            <w:tcW w:w="260" w:type="dxa"/>
            <w:vAlign w:val="bottom"/>
          </w:tcPr>
          <w:p>
            <w:pPr>
              <w:spacing w:after="0"/>
              <w:rPr>
                <w:sz w:val="23"/>
                <w:szCs w:val="23"/>
                <w:color w:val="auto"/>
              </w:rPr>
            </w:pPr>
          </w:p>
        </w:tc>
        <w:tc>
          <w:tcPr>
            <w:tcW w:w="120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85"/>
              </w:rPr>
              <w:t>12 Weeks</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22"/>
                <w:szCs w:val="22"/>
                <w:b w:val="1"/>
                <w:bCs w:val="1"/>
                <w:color w:val="auto"/>
                <w:w w:val="91"/>
              </w:rPr>
              <w:t>Trailing 4</w:t>
            </w:r>
          </w:p>
        </w:tc>
        <w:tc>
          <w:tcPr>
            <w:tcW w:w="240" w:type="dxa"/>
            <w:vAlign w:val="bottom"/>
          </w:tcPr>
          <w:p>
            <w:pPr>
              <w:spacing w:after="0"/>
              <w:rPr>
                <w:sz w:val="23"/>
                <w:szCs w:val="23"/>
                <w:color w:val="auto"/>
              </w:rPr>
            </w:pPr>
          </w:p>
        </w:tc>
        <w:tc>
          <w:tcPr>
            <w:tcW w:w="120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1"/>
              </w:rPr>
              <w:t>Trailing 4</w:t>
            </w:r>
          </w:p>
        </w:tc>
        <w:tc>
          <w:tcPr>
            <w:tcW w:w="0" w:type="dxa"/>
            <w:vAlign w:val="bottom"/>
          </w:tcPr>
          <w:p>
            <w:pPr>
              <w:spacing w:after="0"/>
              <w:rPr>
                <w:sz w:val="1"/>
                <w:szCs w:val="1"/>
                <w:color w:val="auto"/>
              </w:rPr>
            </w:pPr>
          </w:p>
        </w:tc>
      </w:tr>
      <w:tr>
        <w:trPr>
          <w:trHeight w:val="233"/>
        </w:trPr>
        <w:tc>
          <w:tcPr>
            <w:tcW w:w="1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720" w:type="dxa"/>
            <w:vAlign w:val="bottom"/>
            <w:gridSpan w:val="3"/>
            <w:vMerge w:val="restart"/>
          </w:tcPr>
          <w:p>
            <w:pPr>
              <w:spacing w:after="0"/>
              <w:rPr>
                <w:sz w:val="20"/>
                <w:szCs w:val="20"/>
                <w:color w:val="auto"/>
              </w:rPr>
            </w:pPr>
            <w:r>
              <w:rPr>
                <w:rFonts w:ascii="Arial" w:cs="Arial" w:eastAsia="Arial" w:hAnsi="Arial"/>
                <w:sz w:val="22"/>
                <w:szCs w:val="22"/>
                <w:b w:val="1"/>
                <w:bCs w:val="1"/>
                <w:color w:val="auto"/>
                <w:w w:val="97"/>
              </w:rPr>
              <w:t>Total AutoZone Stores (Domestic, Mexico and</w:t>
            </w:r>
          </w:p>
        </w:tc>
        <w:tc>
          <w:tcPr>
            <w:tcW w:w="260" w:type="dxa"/>
            <w:vAlign w:val="bottom"/>
          </w:tcPr>
          <w:p>
            <w:pPr>
              <w:spacing w:after="0"/>
              <w:rPr>
                <w:sz w:val="24"/>
                <w:szCs w:val="2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22"/>
                <w:szCs w:val="22"/>
                <w:b w:val="1"/>
                <w:bCs w:val="1"/>
                <w:color w:val="auto"/>
                <w:w w:val="89"/>
              </w:rPr>
              <w:t>Ended</w:t>
            </w:r>
          </w:p>
        </w:tc>
        <w:tc>
          <w:tcPr>
            <w:tcW w:w="260" w:type="dxa"/>
            <w:vAlign w:val="bottom"/>
          </w:tcPr>
          <w:p>
            <w:pPr>
              <w:spacing w:after="0"/>
              <w:rPr>
                <w:sz w:val="24"/>
                <w:szCs w:val="24"/>
                <w:color w:val="auto"/>
              </w:rPr>
            </w:pPr>
          </w:p>
        </w:tc>
        <w:tc>
          <w:tcPr>
            <w:tcW w:w="120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Ended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91"/>
              </w:rPr>
              <w:t>Quarters</w:t>
            </w:r>
          </w:p>
        </w:tc>
        <w:tc>
          <w:tcPr>
            <w:tcW w:w="240" w:type="dxa"/>
            <w:vAlign w:val="bottom"/>
          </w:tcPr>
          <w:p>
            <w:pPr>
              <w:spacing w:after="0"/>
              <w:rPr>
                <w:sz w:val="24"/>
                <w:szCs w:val="24"/>
                <w:color w:val="auto"/>
              </w:rPr>
            </w:pPr>
          </w:p>
        </w:tc>
        <w:tc>
          <w:tcPr>
            <w:tcW w:w="1200" w:type="dxa"/>
            <w:vAlign w:val="bottom"/>
          </w:tcPr>
          <w:p>
            <w:pPr>
              <w:jc w:val="center"/>
              <w:ind w:right="132"/>
              <w:spacing w:after="0"/>
              <w:rPr>
                <w:sz w:val="20"/>
                <w:szCs w:val="20"/>
                <w:color w:val="auto"/>
              </w:rPr>
            </w:pPr>
            <w:r>
              <w:rPr>
                <w:rFonts w:ascii="Arial" w:cs="Arial" w:eastAsia="Arial" w:hAnsi="Arial"/>
                <w:sz w:val="22"/>
                <w:szCs w:val="22"/>
                <w:b w:val="1"/>
                <w:bCs w:val="1"/>
                <w:color w:val="auto"/>
                <w:w w:val="91"/>
              </w:rPr>
              <w:t>Quarters</w:t>
            </w:r>
          </w:p>
        </w:tc>
        <w:tc>
          <w:tcPr>
            <w:tcW w:w="0" w:type="dxa"/>
            <w:vAlign w:val="bottom"/>
          </w:tcPr>
          <w:p>
            <w:pPr>
              <w:spacing w:after="0"/>
              <w:rPr>
                <w:sz w:val="1"/>
                <w:szCs w:val="1"/>
                <w:color w:val="auto"/>
              </w:rPr>
            </w:pPr>
          </w:p>
        </w:tc>
      </w:tr>
      <w:tr>
        <w:trPr>
          <w:trHeight w:val="233"/>
        </w:trPr>
        <w:tc>
          <w:tcPr>
            <w:tcW w:w="4720" w:type="dxa"/>
            <w:vAlign w:val="bottom"/>
            <w:gridSpan w:val="3"/>
            <w:vMerge w:val="continue"/>
          </w:tcPr>
          <w:p>
            <w:pPr>
              <w:spacing w:after="0"/>
              <w:rPr>
                <w:sz w:val="20"/>
                <w:szCs w:val="20"/>
                <w:color w:val="auto"/>
              </w:rPr>
            </w:pPr>
          </w:p>
        </w:tc>
        <w:tc>
          <w:tcPr>
            <w:tcW w:w="1700" w:type="dxa"/>
            <w:vAlign w:val="bottom"/>
            <w:gridSpan w:val="3"/>
            <w:vMerge w:val="restart"/>
          </w:tcPr>
          <w:p>
            <w:pPr>
              <w:jc w:val="center"/>
              <w:ind w:right="220"/>
              <w:spacing w:after="0"/>
              <w:rPr>
                <w:sz w:val="20"/>
                <w:szCs w:val="20"/>
                <w:color w:val="auto"/>
              </w:rPr>
            </w:pPr>
            <w:r>
              <w:rPr>
                <w:rFonts w:ascii="Arial" w:cs="Arial" w:eastAsia="Arial" w:hAnsi="Arial"/>
                <w:sz w:val="22"/>
                <w:szCs w:val="22"/>
                <w:b w:val="1"/>
                <w:bCs w:val="1"/>
                <w:color w:val="auto"/>
                <w:w w:val="91"/>
              </w:rPr>
              <w:t>May 9, 2020</w:t>
            </w:r>
          </w:p>
        </w:tc>
        <w:tc>
          <w:tcPr>
            <w:tcW w:w="146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3"/>
              </w:rPr>
              <w:t>May 4, 2019</w:t>
            </w:r>
          </w:p>
        </w:tc>
        <w:tc>
          <w:tcPr>
            <w:tcW w:w="240" w:type="dxa"/>
            <w:vAlign w:val="bottom"/>
          </w:tcPr>
          <w:p>
            <w:pPr>
              <w:spacing w:after="0"/>
              <w:rPr>
                <w:sz w:val="20"/>
                <w:szCs w:val="20"/>
                <w:color w:val="auto"/>
              </w:rPr>
            </w:pPr>
          </w:p>
        </w:tc>
        <w:tc>
          <w:tcPr>
            <w:tcW w:w="1660" w:type="dxa"/>
            <w:vAlign w:val="bottom"/>
            <w:gridSpan w:val="3"/>
            <w:vMerge w:val="restart"/>
          </w:tcPr>
          <w:p>
            <w:pPr>
              <w:jc w:val="center"/>
              <w:ind w:right="220"/>
              <w:spacing w:after="0"/>
              <w:rPr>
                <w:sz w:val="20"/>
                <w:szCs w:val="20"/>
                <w:color w:val="auto"/>
              </w:rPr>
            </w:pPr>
            <w:r>
              <w:rPr>
                <w:rFonts w:ascii="Arial" w:cs="Arial" w:eastAsia="Arial" w:hAnsi="Arial"/>
                <w:sz w:val="22"/>
                <w:szCs w:val="22"/>
                <w:b w:val="1"/>
                <w:bCs w:val="1"/>
                <w:color w:val="auto"/>
                <w:w w:val="91"/>
              </w:rPr>
              <w:t>May 9, 2020</w:t>
            </w:r>
          </w:p>
        </w:tc>
        <w:tc>
          <w:tcPr>
            <w:tcW w:w="144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1"/>
              </w:rPr>
              <w:t>May 4, 2019</w:t>
            </w:r>
          </w:p>
        </w:tc>
        <w:tc>
          <w:tcPr>
            <w:tcW w:w="0" w:type="dxa"/>
            <w:vAlign w:val="bottom"/>
          </w:tcPr>
          <w:p>
            <w:pPr>
              <w:spacing w:after="0"/>
              <w:rPr>
                <w:sz w:val="1"/>
                <w:szCs w:val="1"/>
                <w:color w:val="auto"/>
              </w:rPr>
            </w:pPr>
          </w:p>
        </w:tc>
      </w:tr>
      <w:tr>
        <w:trPr>
          <w:trHeight w:val="159"/>
        </w:trPr>
        <w:tc>
          <w:tcPr>
            <w:tcW w:w="472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Brazil)</w:t>
            </w:r>
          </w:p>
        </w:tc>
        <w:tc>
          <w:tcPr>
            <w:tcW w:w="1700" w:type="dxa"/>
            <w:vAlign w:val="bottom"/>
            <w:gridSpan w:val="3"/>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720" w:type="dxa"/>
            <w:vAlign w:val="bottom"/>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9"/>
        </w:trPr>
        <w:tc>
          <w:tcPr>
            <w:tcW w:w="4720" w:type="dxa"/>
            <w:vAlign w:val="bottom"/>
            <w:gridSpan w:val="3"/>
          </w:tcPr>
          <w:p>
            <w:pPr>
              <w:ind w:left="260"/>
              <w:spacing w:after="0"/>
              <w:rPr>
                <w:sz w:val="20"/>
                <w:szCs w:val="20"/>
                <w:color w:val="auto"/>
              </w:rPr>
            </w:pPr>
            <w:r>
              <w:rPr>
                <w:rFonts w:ascii="Arial" w:cs="Arial" w:eastAsia="Arial" w:hAnsi="Arial"/>
                <w:sz w:val="22"/>
                <w:szCs w:val="22"/>
                <w:color w:val="auto"/>
              </w:rPr>
              <w:t>Sales per average store</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421</w:t>
            </w:r>
          </w:p>
        </w:tc>
        <w:tc>
          <w:tcPr>
            <w:tcW w:w="24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436</w:t>
            </w:r>
          </w:p>
        </w:tc>
        <w:tc>
          <w:tcPr>
            <w:tcW w:w="2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1,856</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1,814</w:t>
            </w:r>
          </w:p>
        </w:tc>
        <w:tc>
          <w:tcPr>
            <w:tcW w:w="0" w:type="dxa"/>
            <w:vAlign w:val="bottom"/>
          </w:tcPr>
          <w:p>
            <w:pPr>
              <w:spacing w:after="0"/>
              <w:rPr>
                <w:sz w:val="1"/>
                <w:szCs w:val="1"/>
                <w:color w:val="auto"/>
              </w:rPr>
            </w:pPr>
          </w:p>
        </w:tc>
      </w:tr>
      <w:tr>
        <w:trPr>
          <w:trHeight w:val="274"/>
        </w:trPr>
        <w:tc>
          <w:tcPr>
            <w:tcW w:w="4720" w:type="dxa"/>
            <w:vAlign w:val="bottom"/>
            <w:gridSpan w:val="3"/>
          </w:tcPr>
          <w:p>
            <w:pPr>
              <w:ind w:left="260"/>
              <w:spacing w:after="0"/>
              <w:rPr>
                <w:sz w:val="20"/>
                <w:szCs w:val="20"/>
                <w:color w:val="auto"/>
              </w:rPr>
            </w:pPr>
            <w:r>
              <w:rPr>
                <w:rFonts w:ascii="Arial" w:cs="Arial" w:eastAsia="Arial" w:hAnsi="Arial"/>
                <w:sz w:val="22"/>
                <w:szCs w:val="22"/>
                <w:color w:val="auto"/>
              </w:rPr>
              <w:t>Sales per average square foot</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63</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66</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280</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536"/>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w w:val="96"/>
              </w:rPr>
              <w:t>Total Auto Parts (Domestic, Mexico and Brazil)</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Total auto parts sales</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2,724,604</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2,731,900</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w w:val="98"/>
              </w:rPr>
              <w:t>11,849,892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w w:val="98"/>
              </w:rPr>
              <w:t>11,227,486</w:t>
            </w:r>
          </w:p>
        </w:tc>
        <w:tc>
          <w:tcPr>
            <w:tcW w:w="0" w:type="dxa"/>
            <w:vAlign w:val="bottom"/>
          </w:tcPr>
          <w:p>
            <w:pPr>
              <w:spacing w:after="0"/>
              <w:rPr>
                <w:sz w:val="1"/>
                <w:szCs w:val="1"/>
                <w:color w:val="auto"/>
              </w:rPr>
            </w:pPr>
          </w:p>
        </w:tc>
      </w:tr>
      <w:tr>
        <w:trPr>
          <w:trHeight w:val="274"/>
        </w:trPr>
        <w:tc>
          <w:tcPr>
            <w:tcW w:w="4720" w:type="dxa"/>
            <w:vAlign w:val="bottom"/>
            <w:gridSpan w:val="3"/>
          </w:tcPr>
          <w:p>
            <w:pPr>
              <w:ind w:left="400"/>
              <w:spacing w:after="0"/>
              <w:rPr>
                <w:sz w:val="20"/>
                <w:szCs w:val="20"/>
                <w:color w:val="auto"/>
              </w:rPr>
            </w:pPr>
            <w:r>
              <w:rPr>
                <w:rFonts w:ascii="Arial" w:cs="Arial" w:eastAsia="Arial" w:hAnsi="Arial"/>
                <w:sz w:val="22"/>
                <w:szCs w:val="22"/>
                <w:color w:val="auto"/>
              </w:rPr>
              <w:t>% Increase vs. LY</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-0.3%</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4.7%</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536"/>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Domestic Commercial</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Total domestic commercial sales</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573,786</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614,808</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2,638,710</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2,408,148</w:t>
            </w:r>
          </w:p>
        </w:tc>
        <w:tc>
          <w:tcPr>
            <w:tcW w:w="0" w:type="dxa"/>
            <w:vAlign w:val="bottom"/>
          </w:tcPr>
          <w:p>
            <w:pPr>
              <w:spacing w:after="0"/>
              <w:rPr>
                <w:sz w:val="1"/>
                <w:szCs w:val="1"/>
                <w:color w:val="auto"/>
              </w:rPr>
            </w:pPr>
          </w:p>
        </w:tc>
      </w:tr>
      <w:tr>
        <w:trPr>
          <w:trHeight w:val="274"/>
        </w:trPr>
        <w:tc>
          <w:tcPr>
            <w:tcW w:w="4720" w:type="dxa"/>
            <w:vAlign w:val="bottom"/>
            <w:gridSpan w:val="3"/>
          </w:tcPr>
          <w:p>
            <w:pPr>
              <w:ind w:left="400"/>
              <w:spacing w:after="0"/>
              <w:rPr>
                <w:sz w:val="20"/>
                <w:szCs w:val="20"/>
                <w:color w:val="auto"/>
              </w:rPr>
            </w:pPr>
            <w:r>
              <w:rPr>
                <w:rFonts w:ascii="Arial" w:cs="Arial" w:eastAsia="Arial" w:hAnsi="Arial"/>
                <w:sz w:val="22"/>
                <w:szCs w:val="22"/>
                <w:color w:val="auto"/>
              </w:rPr>
              <w:t>% Increase vs. LY</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-6.7%</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14.9%</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9.6%</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11.8%</w:t>
            </w:r>
          </w:p>
        </w:tc>
        <w:tc>
          <w:tcPr>
            <w:tcW w:w="0" w:type="dxa"/>
            <w:vAlign w:val="bottom"/>
          </w:tcPr>
          <w:p>
            <w:pPr>
              <w:spacing w:after="0"/>
              <w:rPr>
                <w:sz w:val="1"/>
                <w:szCs w:val="1"/>
                <w:color w:val="auto"/>
              </w:rPr>
            </w:pPr>
          </w:p>
        </w:tc>
      </w:tr>
      <w:tr>
        <w:trPr>
          <w:trHeight w:val="536"/>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All Other, including ALLDATA</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All other sales</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54,695</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51,106</w:t>
            </w:r>
          </w:p>
        </w:tc>
        <w:tc>
          <w:tcPr>
            <w:tcW w:w="48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224,542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206,590</w:t>
            </w:r>
          </w:p>
        </w:tc>
        <w:tc>
          <w:tcPr>
            <w:tcW w:w="0" w:type="dxa"/>
            <w:vAlign w:val="bottom"/>
          </w:tcPr>
          <w:p>
            <w:pPr>
              <w:spacing w:after="0"/>
              <w:rPr>
                <w:sz w:val="1"/>
                <w:szCs w:val="1"/>
                <w:color w:val="auto"/>
              </w:rPr>
            </w:pPr>
          </w:p>
        </w:tc>
      </w:tr>
      <w:tr>
        <w:trPr>
          <w:trHeight w:val="274"/>
        </w:trPr>
        <w:tc>
          <w:tcPr>
            <w:tcW w:w="4720" w:type="dxa"/>
            <w:vAlign w:val="bottom"/>
            <w:gridSpan w:val="3"/>
          </w:tcPr>
          <w:p>
            <w:pPr>
              <w:ind w:left="400"/>
              <w:spacing w:after="0"/>
              <w:rPr>
                <w:sz w:val="20"/>
                <w:szCs w:val="20"/>
                <w:color w:val="auto"/>
              </w:rPr>
            </w:pPr>
            <w:r>
              <w:rPr>
                <w:rFonts w:ascii="Arial" w:cs="Arial" w:eastAsia="Arial" w:hAnsi="Arial"/>
                <w:sz w:val="22"/>
                <w:szCs w:val="22"/>
                <w:color w:val="auto"/>
              </w:rPr>
              <w:t>% Increase vs. LY</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7.0%</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2.9%</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8.7%</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(36.5%)</w:t>
            </w:r>
          </w:p>
        </w:tc>
        <w:tc>
          <w:tcPr>
            <w:tcW w:w="0" w:type="dxa"/>
            <w:vAlign w:val="bottom"/>
          </w:tcPr>
          <w:p>
            <w:pPr>
              <w:spacing w:after="0"/>
              <w:rPr>
                <w:sz w:val="1"/>
                <w:szCs w:val="1"/>
                <w:color w:val="auto"/>
              </w:rPr>
            </w:pPr>
          </w:p>
        </w:tc>
      </w:tr>
      <w:tr>
        <w:trPr>
          <w:trHeight w:val="773"/>
        </w:trPr>
        <w:tc>
          <w:tcPr>
            <w:tcW w:w="1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22"/>
                <w:szCs w:val="22"/>
                <w:b w:val="1"/>
                <w:bCs w:val="1"/>
                <w:color w:val="auto"/>
                <w:w w:val="87"/>
              </w:rPr>
              <w:t>12 Weeks</w:t>
            </w:r>
          </w:p>
        </w:tc>
        <w:tc>
          <w:tcPr>
            <w:tcW w:w="260" w:type="dxa"/>
            <w:vAlign w:val="bottom"/>
          </w:tcPr>
          <w:p>
            <w:pPr>
              <w:spacing w:after="0"/>
              <w:rPr>
                <w:sz w:val="24"/>
                <w:szCs w:val="24"/>
                <w:color w:val="auto"/>
              </w:rPr>
            </w:pPr>
          </w:p>
        </w:tc>
        <w:tc>
          <w:tcPr>
            <w:tcW w:w="1200" w:type="dxa"/>
            <w:vAlign w:val="bottom"/>
          </w:tcPr>
          <w:p>
            <w:pPr>
              <w:jc w:val="center"/>
              <w:ind w:right="152"/>
              <w:spacing w:after="0"/>
              <w:rPr>
                <w:sz w:val="20"/>
                <w:szCs w:val="20"/>
                <w:color w:val="auto"/>
              </w:rPr>
            </w:pPr>
            <w:r>
              <w:rPr>
                <w:rFonts w:ascii="Arial" w:cs="Arial" w:eastAsia="Arial" w:hAnsi="Arial"/>
                <w:sz w:val="22"/>
                <w:szCs w:val="22"/>
                <w:b w:val="1"/>
                <w:bCs w:val="1"/>
                <w:color w:val="auto"/>
                <w:w w:val="85"/>
              </w:rPr>
              <w:t>12 Weeks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87"/>
              </w:rPr>
              <w:t>36 Weeks</w:t>
            </w:r>
          </w:p>
        </w:tc>
        <w:tc>
          <w:tcPr>
            <w:tcW w:w="240" w:type="dxa"/>
            <w:vAlign w:val="bottom"/>
          </w:tcPr>
          <w:p>
            <w:pPr>
              <w:spacing w:after="0"/>
              <w:rPr>
                <w:sz w:val="24"/>
                <w:szCs w:val="24"/>
                <w:color w:val="auto"/>
              </w:rPr>
            </w:pPr>
          </w:p>
        </w:tc>
        <w:tc>
          <w:tcPr>
            <w:tcW w:w="1200" w:type="dxa"/>
            <w:vAlign w:val="bottom"/>
          </w:tcPr>
          <w:p>
            <w:pPr>
              <w:jc w:val="center"/>
              <w:ind w:right="132"/>
              <w:spacing w:after="0"/>
              <w:rPr>
                <w:sz w:val="20"/>
                <w:szCs w:val="20"/>
                <w:color w:val="auto"/>
              </w:rPr>
            </w:pPr>
            <w:r>
              <w:rPr>
                <w:rFonts w:ascii="Arial" w:cs="Arial" w:eastAsia="Arial" w:hAnsi="Arial"/>
                <w:sz w:val="22"/>
                <w:szCs w:val="22"/>
                <w:b w:val="1"/>
                <w:bCs w:val="1"/>
                <w:color w:val="auto"/>
                <w:w w:val="87"/>
              </w:rPr>
              <w:t>36 Weeks</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22"/>
                <w:szCs w:val="22"/>
                <w:b w:val="1"/>
                <w:bCs w:val="1"/>
                <w:color w:val="auto"/>
                <w:w w:val="89"/>
              </w:rPr>
              <w:t>Ended</w:t>
            </w:r>
          </w:p>
        </w:tc>
        <w:tc>
          <w:tcPr>
            <w:tcW w:w="260" w:type="dxa"/>
            <w:vAlign w:val="bottom"/>
          </w:tcPr>
          <w:p>
            <w:pPr>
              <w:spacing w:after="0"/>
              <w:rPr>
                <w:sz w:val="23"/>
                <w:szCs w:val="23"/>
                <w:color w:val="auto"/>
              </w:rPr>
            </w:pPr>
          </w:p>
        </w:tc>
        <w:tc>
          <w:tcPr>
            <w:tcW w:w="120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Ended</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22"/>
                <w:szCs w:val="22"/>
                <w:b w:val="1"/>
                <w:bCs w:val="1"/>
                <w:color w:val="auto"/>
                <w:w w:val="89"/>
              </w:rPr>
              <w:t>Ended</w:t>
            </w:r>
          </w:p>
        </w:tc>
        <w:tc>
          <w:tcPr>
            <w:tcW w:w="240" w:type="dxa"/>
            <w:vAlign w:val="bottom"/>
          </w:tcPr>
          <w:p>
            <w:pPr>
              <w:spacing w:after="0"/>
              <w:rPr>
                <w:sz w:val="23"/>
                <w:szCs w:val="23"/>
                <w:color w:val="auto"/>
              </w:rPr>
            </w:pPr>
          </w:p>
        </w:tc>
        <w:tc>
          <w:tcPr>
            <w:tcW w:w="120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Ended</w:t>
            </w:r>
          </w:p>
        </w:tc>
        <w:tc>
          <w:tcPr>
            <w:tcW w:w="0" w:type="dxa"/>
            <w:vAlign w:val="bottom"/>
          </w:tcPr>
          <w:p>
            <w:pPr>
              <w:spacing w:after="0"/>
              <w:rPr>
                <w:sz w:val="1"/>
                <w:szCs w:val="1"/>
                <w:color w:val="auto"/>
              </w:rPr>
            </w:pPr>
          </w:p>
        </w:tc>
      </w:tr>
      <w:tr>
        <w:trPr>
          <w:trHeight w:val="282"/>
        </w:trPr>
        <w:tc>
          <w:tcPr>
            <w:tcW w:w="472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Domestic same store sales</w:t>
            </w:r>
          </w:p>
        </w:tc>
        <w:tc>
          <w:tcPr>
            <w:tcW w:w="1700" w:type="dxa"/>
            <w:vAlign w:val="bottom"/>
            <w:gridSpan w:val="3"/>
          </w:tcPr>
          <w:p>
            <w:pPr>
              <w:jc w:val="center"/>
              <w:ind w:right="220"/>
              <w:spacing w:after="0"/>
              <w:rPr>
                <w:sz w:val="20"/>
                <w:szCs w:val="20"/>
                <w:color w:val="auto"/>
              </w:rPr>
            </w:pPr>
            <w:r>
              <w:rPr>
                <w:rFonts w:ascii="Arial" w:cs="Arial" w:eastAsia="Arial" w:hAnsi="Arial"/>
                <w:sz w:val="22"/>
                <w:szCs w:val="22"/>
                <w:b w:val="1"/>
                <w:bCs w:val="1"/>
                <w:color w:val="auto"/>
                <w:w w:val="91"/>
              </w:rPr>
              <w:t>May 9, 2020</w:t>
            </w:r>
          </w:p>
        </w:tc>
        <w:tc>
          <w:tcPr>
            <w:tcW w:w="1460" w:type="dxa"/>
            <w:vAlign w:val="bottom"/>
            <w:gridSpan w:val="2"/>
          </w:tcPr>
          <w:p>
            <w:pPr>
              <w:jc w:val="center"/>
              <w:spacing w:after="0"/>
              <w:rPr>
                <w:sz w:val="20"/>
                <w:szCs w:val="20"/>
                <w:color w:val="auto"/>
              </w:rPr>
            </w:pPr>
            <w:r>
              <w:rPr>
                <w:rFonts w:ascii="Arial" w:cs="Arial" w:eastAsia="Arial" w:hAnsi="Arial"/>
                <w:sz w:val="22"/>
                <w:szCs w:val="22"/>
                <w:b w:val="1"/>
                <w:bCs w:val="1"/>
                <w:color w:val="auto"/>
                <w:w w:val="93"/>
              </w:rPr>
              <w:t>May 4, 2019</w:t>
            </w:r>
          </w:p>
        </w:tc>
        <w:tc>
          <w:tcPr>
            <w:tcW w:w="240" w:type="dxa"/>
            <w:vAlign w:val="bottom"/>
          </w:tcPr>
          <w:p>
            <w:pPr>
              <w:spacing w:after="0"/>
              <w:rPr>
                <w:sz w:val="24"/>
                <w:szCs w:val="24"/>
                <w:color w:val="auto"/>
              </w:rPr>
            </w:pPr>
          </w:p>
        </w:tc>
        <w:tc>
          <w:tcPr>
            <w:tcW w:w="1660" w:type="dxa"/>
            <w:vAlign w:val="bottom"/>
            <w:gridSpan w:val="3"/>
          </w:tcPr>
          <w:p>
            <w:pPr>
              <w:jc w:val="center"/>
              <w:ind w:right="220"/>
              <w:spacing w:after="0"/>
              <w:rPr>
                <w:sz w:val="20"/>
                <w:szCs w:val="20"/>
                <w:color w:val="auto"/>
              </w:rPr>
            </w:pPr>
            <w:r>
              <w:rPr>
                <w:rFonts w:ascii="Arial" w:cs="Arial" w:eastAsia="Arial" w:hAnsi="Arial"/>
                <w:sz w:val="22"/>
                <w:szCs w:val="22"/>
                <w:b w:val="1"/>
                <w:bCs w:val="1"/>
                <w:color w:val="auto"/>
                <w:w w:val="91"/>
              </w:rPr>
              <w:t>May 9, 2020</w:t>
            </w:r>
          </w:p>
        </w:tc>
        <w:tc>
          <w:tcPr>
            <w:tcW w:w="1440" w:type="dxa"/>
            <w:vAlign w:val="bottom"/>
            <w:gridSpan w:val="2"/>
          </w:tcPr>
          <w:p>
            <w:pPr>
              <w:jc w:val="center"/>
              <w:spacing w:after="0"/>
              <w:rPr>
                <w:sz w:val="20"/>
                <w:szCs w:val="20"/>
                <w:color w:val="auto"/>
              </w:rPr>
            </w:pPr>
            <w:r>
              <w:rPr>
                <w:rFonts w:ascii="Arial" w:cs="Arial" w:eastAsia="Arial" w:hAnsi="Arial"/>
                <w:sz w:val="22"/>
                <w:szCs w:val="22"/>
                <w:b w:val="1"/>
                <w:bCs w:val="1"/>
                <w:color w:val="auto"/>
                <w:w w:val="91"/>
              </w:rPr>
              <w:t>May 4, 2019</w:t>
            </w:r>
          </w:p>
        </w:tc>
        <w:tc>
          <w:tcPr>
            <w:tcW w:w="0" w:type="dxa"/>
            <w:vAlign w:val="bottom"/>
          </w:tcPr>
          <w:p>
            <w:pPr>
              <w:spacing w:after="0"/>
              <w:rPr>
                <w:sz w:val="1"/>
                <w:szCs w:val="1"/>
                <w:color w:val="auto"/>
              </w:rPr>
            </w:pPr>
          </w:p>
        </w:tc>
      </w:tr>
      <w:tr>
        <w:trPr>
          <w:trHeight w:val="270"/>
        </w:trPr>
        <w:tc>
          <w:tcPr>
            <w:tcW w:w="4720" w:type="dxa"/>
            <w:vAlign w:val="bottom"/>
            <w:gridSpan w:val="3"/>
            <w:vMerge w:val="continue"/>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w:t>
            </w:r>
          </w:p>
        </w:tc>
        <w:tc>
          <w:tcPr>
            <w:tcW w:w="2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3.9%</w:t>
            </w:r>
          </w:p>
        </w:tc>
        <w:tc>
          <w:tcPr>
            <w:tcW w:w="24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0.5%</w:t>
            </w:r>
          </w:p>
        </w:tc>
        <w:tc>
          <w:tcPr>
            <w:tcW w:w="22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482"/>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Inventory Statistics (Total Stores)</w:t>
            </w:r>
          </w:p>
        </w:tc>
        <w:tc>
          <w:tcPr>
            <w:tcW w:w="260" w:type="dxa"/>
            <w:vAlign w:val="bottom"/>
          </w:tcPr>
          <w:p>
            <w:pPr>
              <w:spacing w:after="0"/>
              <w:rPr>
                <w:sz w:val="24"/>
                <w:szCs w:val="24"/>
                <w:color w:val="auto"/>
              </w:rPr>
            </w:pP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22"/>
                <w:szCs w:val="22"/>
                <w:b w:val="1"/>
                <w:bCs w:val="1"/>
                <w:color w:val="auto"/>
                <w:w w:val="81"/>
              </w:rPr>
              <w:t>as of</w:t>
            </w:r>
          </w:p>
        </w:tc>
        <w:tc>
          <w:tcPr>
            <w:tcW w:w="260" w:type="dxa"/>
            <w:vAlign w:val="bottom"/>
          </w:tcPr>
          <w:p>
            <w:pPr>
              <w:spacing w:after="0"/>
              <w:rPr>
                <w:sz w:val="24"/>
                <w:szCs w:val="24"/>
                <w:color w:val="auto"/>
              </w:rPr>
            </w:pPr>
          </w:p>
        </w:tc>
        <w:tc>
          <w:tcPr>
            <w:tcW w:w="120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81"/>
              </w:rPr>
              <w:t>as of</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36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20" w:type="dxa"/>
            <w:vAlign w:val="bottom"/>
            <w:gridSpan w:val="3"/>
            <w:vMerge w:val="restart"/>
          </w:tcPr>
          <w:p>
            <w:pPr>
              <w:ind w:left="320"/>
              <w:spacing w:after="0"/>
              <w:rPr>
                <w:sz w:val="20"/>
                <w:szCs w:val="20"/>
                <w:color w:val="auto"/>
              </w:rPr>
            </w:pPr>
            <w:r>
              <w:rPr>
                <w:rFonts w:ascii="Arial" w:cs="Arial" w:eastAsia="Arial" w:hAnsi="Arial"/>
                <w:sz w:val="22"/>
                <w:szCs w:val="22"/>
                <w:color w:val="auto"/>
              </w:rPr>
              <w:t>Accounts payable/inventory</w:t>
            </w:r>
          </w:p>
        </w:tc>
        <w:tc>
          <w:tcPr>
            <w:tcW w:w="1700" w:type="dxa"/>
            <w:vAlign w:val="bottom"/>
            <w:gridSpan w:val="3"/>
          </w:tcPr>
          <w:p>
            <w:pPr>
              <w:jc w:val="center"/>
              <w:ind w:right="220"/>
              <w:spacing w:after="0"/>
              <w:rPr>
                <w:sz w:val="20"/>
                <w:szCs w:val="20"/>
                <w:color w:val="auto"/>
              </w:rPr>
            </w:pPr>
            <w:r>
              <w:rPr>
                <w:rFonts w:ascii="Arial" w:cs="Arial" w:eastAsia="Arial" w:hAnsi="Arial"/>
                <w:sz w:val="22"/>
                <w:szCs w:val="22"/>
                <w:b w:val="1"/>
                <w:bCs w:val="1"/>
                <w:color w:val="auto"/>
                <w:w w:val="91"/>
              </w:rPr>
              <w:t>May 9, 2020</w:t>
            </w:r>
          </w:p>
        </w:tc>
        <w:tc>
          <w:tcPr>
            <w:tcW w:w="1460" w:type="dxa"/>
            <w:vAlign w:val="bottom"/>
            <w:gridSpan w:val="2"/>
          </w:tcPr>
          <w:p>
            <w:pPr>
              <w:jc w:val="center"/>
              <w:spacing w:after="0"/>
              <w:rPr>
                <w:sz w:val="20"/>
                <w:szCs w:val="20"/>
                <w:color w:val="auto"/>
              </w:rPr>
            </w:pPr>
            <w:r>
              <w:rPr>
                <w:rFonts w:ascii="Arial" w:cs="Arial" w:eastAsia="Arial" w:hAnsi="Arial"/>
                <w:sz w:val="22"/>
                <w:szCs w:val="22"/>
                <w:b w:val="1"/>
                <w:bCs w:val="1"/>
                <w:color w:val="auto"/>
                <w:w w:val="93"/>
              </w:rPr>
              <w:t>May 4, 2019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720" w:type="dxa"/>
            <w:vAlign w:val="bottom"/>
            <w:gridSpan w:val="3"/>
            <w:vMerge w:val="continue"/>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108.2%</w:t>
            </w:r>
          </w:p>
        </w:tc>
        <w:tc>
          <w:tcPr>
            <w:tcW w:w="24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108.5%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8"/>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 in thousands)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Inventory</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4,440,602</w:t>
            </w:r>
          </w:p>
        </w:tc>
        <w:tc>
          <w:tcPr>
            <w:tcW w:w="24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4,325,659</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Inventory per store</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685</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22"/>
                <w:szCs w:val="22"/>
                <w:color w:val="auto"/>
              </w:rPr>
              <w:t>688</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Net inventory (net of payables)</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(365,727)</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(367,435)</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720" w:type="dxa"/>
            <w:vAlign w:val="bottom"/>
            <w:gridSpan w:val="3"/>
          </w:tcPr>
          <w:p>
            <w:pPr>
              <w:ind w:left="320"/>
              <w:spacing w:after="0"/>
              <w:rPr>
                <w:sz w:val="20"/>
                <w:szCs w:val="20"/>
                <w:color w:val="auto"/>
              </w:rPr>
            </w:pPr>
            <w:r>
              <w:rPr>
                <w:rFonts w:ascii="Arial" w:cs="Arial" w:eastAsia="Arial" w:hAnsi="Arial"/>
                <w:sz w:val="22"/>
                <w:szCs w:val="22"/>
                <w:color w:val="auto"/>
              </w:rPr>
              <w:t>Net inventory / per store</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(58)</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5400"/>
        <w:spacing w:after="0"/>
        <w:rPr>
          <w:sz w:val="20"/>
          <w:szCs w:val="20"/>
          <w:color w:val="auto"/>
        </w:rPr>
      </w:pPr>
      <w:r>
        <w:rPr>
          <w:rFonts w:ascii="Arial" w:cs="Arial" w:eastAsia="Arial" w:hAnsi="Arial"/>
          <w:sz w:val="22"/>
          <w:szCs w:val="22"/>
          <w:b w:val="1"/>
          <w:bCs w:val="1"/>
          <w:color w:val="auto"/>
        </w:rPr>
        <w:t>Trailing 5 Quarters</w:t>
      </w:r>
    </w:p>
    <w:p>
      <w:pPr>
        <w:sectPr>
          <w:pgSz w:w="11900" w:h="16838" w:orient="portrait"/>
          <w:cols w:equalWidth="0" w:num="1">
            <w:col w:w="11220"/>
          </w:cols>
          <w:pgMar w:left="340" w:top="118" w:right="3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1"/>
        </w:trPr>
        <w:tc>
          <w:tcPr>
            <w:tcW w:w="4400" w:type="dxa"/>
            <w:vAlign w:val="bottom"/>
          </w:tcPr>
          <w:p>
            <w:pPr>
              <w:spacing w:after="0"/>
              <w:rPr>
                <w:sz w:val="24"/>
                <w:szCs w:val="24"/>
                <w:color w:val="auto"/>
              </w:rPr>
            </w:pPr>
          </w:p>
        </w:tc>
        <w:tc>
          <w:tcPr>
            <w:tcW w:w="1700" w:type="dxa"/>
            <w:vAlign w:val="bottom"/>
            <w:gridSpan w:val="2"/>
          </w:tcPr>
          <w:p>
            <w:pPr>
              <w:ind w:left="180"/>
              <w:spacing w:after="0"/>
              <w:rPr>
                <w:sz w:val="20"/>
                <w:szCs w:val="20"/>
                <w:color w:val="auto"/>
              </w:rPr>
            </w:pPr>
            <w:r>
              <w:rPr>
                <w:rFonts w:ascii="Arial" w:cs="Arial" w:eastAsia="Arial" w:hAnsi="Arial"/>
                <w:sz w:val="22"/>
                <w:szCs w:val="22"/>
                <w:b w:val="1"/>
                <w:bCs w:val="1"/>
                <w:color w:val="auto"/>
              </w:rPr>
              <w:t>May 9, 2020</w:t>
            </w:r>
          </w:p>
        </w:tc>
        <w:tc>
          <w:tcPr>
            <w:tcW w:w="1580" w:type="dxa"/>
            <w:vAlign w:val="bottom"/>
            <w:gridSpan w:val="2"/>
          </w:tcPr>
          <w:p>
            <w:pPr>
              <w:ind w:left="160"/>
              <w:spacing w:after="0"/>
              <w:rPr>
                <w:sz w:val="20"/>
                <w:szCs w:val="20"/>
                <w:color w:val="auto"/>
              </w:rPr>
            </w:pPr>
            <w:r>
              <w:rPr>
                <w:rFonts w:ascii="Arial" w:cs="Arial" w:eastAsia="Arial" w:hAnsi="Arial"/>
                <w:sz w:val="22"/>
                <w:szCs w:val="22"/>
                <w:b w:val="1"/>
                <w:bCs w:val="1"/>
                <w:color w:val="auto"/>
              </w:rPr>
              <w:t>May 4, 2019</w:t>
            </w:r>
          </w:p>
        </w:tc>
      </w:tr>
      <w:tr>
        <w:trPr>
          <w:trHeight w:val="271"/>
        </w:trPr>
        <w:tc>
          <w:tcPr>
            <w:tcW w:w="4400" w:type="dxa"/>
            <w:vAlign w:val="bottom"/>
          </w:tcPr>
          <w:p>
            <w:pPr>
              <w:spacing w:after="0"/>
              <w:rPr>
                <w:sz w:val="20"/>
                <w:szCs w:val="20"/>
                <w:color w:val="auto"/>
              </w:rPr>
            </w:pPr>
            <w:r>
              <w:rPr>
                <w:rFonts w:ascii="Arial" w:cs="Arial" w:eastAsia="Arial" w:hAnsi="Arial"/>
                <w:sz w:val="22"/>
                <w:szCs w:val="22"/>
                <w:color w:val="auto"/>
              </w:rPr>
              <w:t>Inventory turns</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1.3</w:t>
            </w:r>
          </w:p>
        </w:tc>
        <w:tc>
          <w:tcPr>
            <w:tcW w:w="240" w:type="dxa"/>
            <w:vAlign w:val="bottom"/>
          </w:tcPr>
          <w:p>
            <w:pPr>
              <w:ind w:left="20"/>
              <w:spacing w:after="0"/>
              <w:rPr>
                <w:sz w:val="20"/>
                <w:szCs w:val="20"/>
                <w:color w:val="auto"/>
              </w:rPr>
            </w:pPr>
            <w:r>
              <w:rPr>
                <w:rFonts w:ascii="Arial" w:cs="Arial" w:eastAsia="Arial" w:hAnsi="Arial"/>
                <w:sz w:val="22"/>
                <w:szCs w:val="22"/>
                <w:color w:val="auto"/>
              </w:rPr>
              <w:t>x</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22"/>
                <w:szCs w:val="22"/>
                <w:color w:val="auto"/>
              </w:rPr>
              <w:t>1.3</w:t>
            </w:r>
          </w:p>
        </w:tc>
        <w:tc>
          <w:tcPr>
            <w:tcW w:w="120" w:type="dxa"/>
            <w:vAlign w:val="bottom"/>
          </w:tcPr>
          <w:p>
            <w:pPr>
              <w:spacing w:after="0"/>
              <w:rPr>
                <w:sz w:val="20"/>
                <w:szCs w:val="20"/>
                <w:color w:val="auto"/>
              </w:rPr>
            </w:pPr>
            <w:r>
              <w:rPr>
                <w:rFonts w:ascii="Arial" w:cs="Arial" w:eastAsia="Arial" w:hAnsi="Arial"/>
                <w:sz w:val="22"/>
                <w:szCs w:val="22"/>
                <w:color w:val="auto"/>
                <w:w w:val="90"/>
              </w:rPr>
              <w:t>x</w:t>
            </w:r>
          </w:p>
        </w:tc>
      </w:tr>
    </w:tbl>
    <w:p>
      <w:pPr>
        <w:spacing w:after="0" w:line="1" w:lineRule="exact"/>
        <w:rPr>
          <w:sz w:val="20"/>
          <w:szCs w:val="20"/>
          <w:color w:val="auto"/>
        </w:rPr>
      </w:pPr>
    </w:p>
    <w:sectPr>
      <w:pgSz w:w="11900" w:h="16838" w:orient="portrait"/>
      <w:cols w:equalWidth="0" w:num="1">
        <w:col w:w="9799"/>
      </w:cols>
      <w:pgMar w:left="6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10"/>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2020-05-26T05:57:16Z</dcterms:created>
  <dcterms:modified xsi:type="dcterms:W3CDTF">2020-05-26T05:57:16Z</dcterms:modified>
</cp:coreProperties>
</file>