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23, 2025</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AUTOZONE,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1-10714</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62-1482048</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123 South Front Street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Memphis, Tennessee 38103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(901) 495-6500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3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1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AZO</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 September 23, 2025, AutoZone, Inc. issued a press release announcing its earnings for the fiscal quarter ended August 30, 2025 which is furnished as Exhibit 99.1.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7160" w:type="dxa"/>
            <w:vAlign w:val="bottom"/>
          </w:tcPr>
          <w:p>
            <w:pPr>
              <w:spacing w:after="0"/>
              <w:rPr>
                <w:sz w:val="20"/>
                <w:szCs w:val="20"/>
                <w:color w:val="auto"/>
              </w:rPr>
            </w:pPr>
          </w:p>
        </w:tc>
      </w:tr>
      <w:tr>
        <w:trPr>
          <w:trHeight w:val="391"/>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2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r>
      <w:tr>
        <w:trPr>
          <w:trHeight w:val="412"/>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dated September 23, 2025</w:t>
            </w:r>
          </w:p>
        </w:tc>
      </w:tr>
      <w:tr>
        <w:trPr>
          <w:trHeight w:val="20"/>
        </w:trPr>
        <w:tc>
          <w:tcPr>
            <w:tcW w:w="3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60" w:type="dxa"/>
            <w:vAlign w:val="bottom"/>
            <w:gridSpan w:val="2"/>
            <w:shd w:val="clear" w:color="auto" w:fill="0000EE"/>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243"/>
        </w:trPr>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7160" w:type="dxa"/>
            <w:vAlign w:val="bottom"/>
          </w:tcPr>
          <w:p>
            <w:pPr>
              <w:spacing w:after="0"/>
              <w:rPr>
                <w:sz w:val="21"/>
                <w:szCs w:val="21"/>
                <w:color w:val="auto"/>
              </w:rPr>
            </w:pPr>
          </w:p>
        </w:tc>
      </w:tr>
      <w:tr>
        <w:trPr>
          <w:trHeight w:val="68"/>
        </w:trPr>
        <w:tc>
          <w:tcPr>
            <w:tcW w:w="320" w:type="dxa"/>
            <w:vAlign w:val="bottom"/>
            <w:shd w:val="clear" w:color="auto" w:fill="000000"/>
          </w:tcPr>
          <w:p>
            <w:pPr>
              <w:spacing w:after="0"/>
              <w:rPr>
                <w:sz w:val="5"/>
                <w:szCs w:val="5"/>
                <w:color w:val="auto"/>
              </w:rPr>
            </w:pPr>
          </w:p>
        </w:tc>
        <w:tc>
          <w:tcPr>
            <w:tcW w:w="52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2120" w:type="dxa"/>
            <w:vAlign w:val="bottom"/>
            <w:shd w:val="clear" w:color="auto" w:fill="000000"/>
          </w:tcPr>
          <w:p>
            <w:pPr>
              <w:spacing w:after="0"/>
              <w:rPr>
                <w:sz w:val="5"/>
                <w:szCs w:val="5"/>
                <w:color w:val="auto"/>
              </w:rPr>
            </w:pPr>
          </w:p>
        </w:tc>
        <w:tc>
          <w:tcPr>
            <w:tcW w:w="716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3800" w:type="dxa"/>
            <w:vAlign w:val="bottom"/>
            <w:gridSpan w:val="2"/>
          </w:tcPr>
          <w:p>
            <w:pPr>
              <w:ind w:left="1780"/>
              <w:spacing w:after="0"/>
              <w:rPr>
                <w:sz w:val="20"/>
                <w:szCs w:val="20"/>
                <w:color w:val="auto"/>
              </w:rPr>
            </w:pPr>
            <w:r>
              <w:rPr>
                <w:rFonts w:ascii="Times New Roman" w:cs="Times New Roman" w:eastAsia="Times New Roman" w:hAnsi="Times New Roman"/>
                <w:sz w:val="18"/>
                <w:szCs w:val="18"/>
                <w:b w:val="1"/>
                <w:bCs w:val="1"/>
                <w:color w:val="auto"/>
              </w:rPr>
              <w:t>AUTOZONE, INC.</w:t>
            </w:r>
          </w:p>
        </w:tc>
      </w:tr>
      <w:tr>
        <w:trPr>
          <w:trHeight w:val="688"/>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23, 2025</w:t>
            </w:r>
          </w:p>
        </w:tc>
        <w:tc>
          <w:tcPr>
            <w:tcW w:w="380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By: /s/ Jamere Jackson</w:t>
            </w:r>
          </w:p>
        </w:tc>
      </w:tr>
      <w:tr>
        <w:trPr>
          <w:trHeight w:val="237"/>
        </w:trPr>
        <w:tc>
          <w:tcPr>
            <w:tcW w:w="36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Jamere Jackson</w:t>
            </w:r>
          </w:p>
        </w:tc>
      </w:tr>
      <w:tr>
        <w:trPr>
          <w:trHeight w:val="243"/>
        </w:trPr>
        <w:tc>
          <w:tcPr>
            <w:tcW w:w="368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w w:val="99"/>
              </w:rPr>
              <w:t>Chief Financial Officer</w:t>
            </w:r>
          </w:p>
        </w:tc>
      </w:tr>
    </w:tbl>
    <w:p>
      <w:pPr>
        <w:sectPr>
          <w:pgSz w:w="11900" w:h="16838" w:orient="portrait"/>
          <w:cols w:equalWidth="0" w:num="1">
            <w:col w:w="11200"/>
          </w:cols>
          <w:pgMar w:left="320" w:top="603" w:right="37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spacing w:after="0" w:line="287" w:lineRule="auto"/>
        <w:rPr>
          <w:sz w:val="20"/>
          <w:szCs w:val="20"/>
          <w:color w:val="auto"/>
        </w:rPr>
      </w:pPr>
      <w:r>
        <w:rPr>
          <w:rFonts w:ascii="Times New Roman" w:cs="Times New Roman" w:eastAsia="Times New Roman" w:hAnsi="Times New Roman"/>
          <w:sz w:val="25"/>
          <w:szCs w:val="25"/>
          <w:b w:val="1"/>
          <w:bCs w:val="1"/>
          <w:color w:val="auto"/>
        </w:rPr>
        <w:t>AutoZone 4th Quarter Total Company Same Store Sales Increase 5.1%; Domestic Same Store Sales Increase 4.8%; 4th Quarter EPS of $48.71; Annual Sales of $18.9 Billion</w:t>
      </w:r>
    </w:p>
    <w:p>
      <w:pPr>
        <w:spacing w:after="0" w:line="124"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2"/>
          <w:szCs w:val="22"/>
          <w:color w:val="auto"/>
        </w:rPr>
        <w:t>MEMPHIS, Tenn., Sept. 23, 2025 (GLOBE NEWSWIRE) -- AutoZone, Inc. (NYSE: AZO) today reported net sales of $6.2 billion for its fourth quarter (16 weeks) ended August 30, 2025, an increase of 0.6% from the fourth quarter of fiscal 2024 (17 weeks). Excluding sales from the additional week included in last year’s quarter, adjusted sales were up 6.9%. Same store sales, or sales for our domestic and international stores open at least one year, are computed on a 16-week and 52-week basis and are as follows:</w:t>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45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80" w:type="dxa"/>
            <w:vAlign w:val="bottom"/>
            <w:gridSpan w:val="2"/>
          </w:tcPr>
          <w:p>
            <w:pPr>
              <w:jc w:val="center"/>
              <w:ind w:right="400"/>
              <w:spacing w:after="0"/>
              <w:rPr>
                <w:sz w:val="20"/>
                <w:szCs w:val="20"/>
                <w:color w:val="auto"/>
              </w:rPr>
            </w:pPr>
            <w:r>
              <w:rPr>
                <w:rFonts w:ascii="Times New Roman" w:cs="Times New Roman" w:eastAsia="Times New Roman" w:hAnsi="Times New Roman"/>
                <w:sz w:val="22"/>
                <w:szCs w:val="22"/>
                <w:color w:val="auto"/>
                <w:w w:val="97"/>
              </w:rPr>
              <w:t>Constant</w:t>
            </w:r>
          </w:p>
        </w:tc>
        <w:tc>
          <w:tcPr>
            <w:tcW w:w="1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Constant</w:t>
            </w:r>
          </w:p>
        </w:tc>
      </w:tr>
      <w:tr>
        <w:trPr>
          <w:trHeight w:val="270"/>
        </w:trPr>
        <w:tc>
          <w:tcPr>
            <w:tcW w:w="45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80" w:type="dxa"/>
            <w:vAlign w:val="bottom"/>
            <w:gridSpan w:val="2"/>
          </w:tcPr>
          <w:p>
            <w:pPr>
              <w:jc w:val="center"/>
              <w:ind w:right="400"/>
              <w:spacing w:after="0"/>
              <w:rPr>
                <w:sz w:val="20"/>
                <w:szCs w:val="20"/>
                <w:color w:val="auto"/>
              </w:rPr>
            </w:pPr>
            <w:r>
              <w:rPr>
                <w:rFonts w:ascii="Times New Roman" w:cs="Times New Roman" w:eastAsia="Times New Roman" w:hAnsi="Times New Roman"/>
                <w:sz w:val="22"/>
                <w:szCs w:val="22"/>
                <w:color w:val="auto"/>
                <w:w w:val="97"/>
              </w:rPr>
              <w:t>Currency</w:t>
            </w:r>
          </w:p>
        </w:tc>
        <w:tc>
          <w:tcPr>
            <w:tcW w:w="1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Currency</w:t>
            </w:r>
          </w:p>
        </w:tc>
      </w:tr>
      <w:tr>
        <w:trPr>
          <w:trHeight w:val="283"/>
        </w:trPr>
        <w:tc>
          <w:tcPr>
            <w:tcW w:w="4540" w:type="dxa"/>
            <w:vAlign w:val="bottom"/>
          </w:tcPr>
          <w:p>
            <w:pPr>
              <w:spacing w:after="0"/>
              <w:rPr>
                <w:sz w:val="24"/>
                <w:szCs w:val="24"/>
                <w:color w:val="auto"/>
              </w:rPr>
            </w:pPr>
          </w:p>
        </w:tc>
        <w:tc>
          <w:tcPr>
            <w:tcW w:w="1540" w:type="dxa"/>
            <w:vAlign w:val="bottom"/>
            <w:gridSpan w:val="2"/>
          </w:tcPr>
          <w:p>
            <w:pPr>
              <w:ind w:left="300"/>
              <w:spacing w:after="0"/>
              <w:rPr>
                <w:sz w:val="20"/>
                <w:szCs w:val="20"/>
                <w:color w:val="auto"/>
              </w:rPr>
            </w:pPr>
            <w:r>
              <w:rPr>
                <w:rFonts w:ascii="Times New Roman" w:cs="Times New Roman" w:eastAsia="Times New Roman" w:hAnsi="Times New Roman"/>
                <w:sz w:val="22"/>
                <w:szCs w:val="22"/>
                <w:color w:val="auto"/>
              </w:rPr>
              <w:t>16 Weeks</w:t>
            </w:r>
          </w:p>
        </w:tc>
        <w:tc>
          <w:tcPr>
            <w:tcW w:w="1880" w:type="dxa"/>
            <w:vAlign w:val="bottom"/>
            <w:gridSpan w:val="2"/>
          </w:tcPr>
          <w:p>
            <w:pPr>
              <w:jc w:val="center"/>
              <w:ind w:right="400"/>
              <w:spacing w:after="0"/>
              <w:rPr>
                <w:sz w:val="20"/>
                <w:szCs w:val="20"/>
                <w:color w:val="auto"/>
              </w:rPr>
            </w:pPr>
            <w:r>
              <w:rPr>
                <w:rFonts w:ascii="Times New Roman" w:cs="Times New Roman" w:eastAsia="Times New Roman" w:hAnsi="Times New Roman"/>
                <w:sz w:val="22"/>
                <w:szCs w:val="22"/>
                <w:color w:val="auto"/>
                <w:w w:val="97"/>
              </w:rPr>
              <w:t>16 Weeks*</w:t>
            </w:r>
          </w:p>
        </w:tc>
        <w:tc>
          <w:tcPr>
            <w:tcW w:w="1820" w:type="dxa"/>
            <w:vAlign w:val="bottom"/>
            <w:gridSpan w:val="2"/>
          </w:tcPr>
          <w:p>
            <w:pPr>
              <w:ind w:left="280"/>
              <w:spacing w:after="0"/>
              <w:rPr>
                <w:sz w:val="20"/>
                <w:szCs w:val="20"/>
                <w:color w:val="auto"/>
              </w:rPr>
            </w:pPr>
            <w:r>
              <w:rPr>
                <w:rFonts w:ascii="Times New Roman" w:cs="Times New Roman" w:eastAsia="Times New Roman" w:hAnsi="Times New Roman"/>
                <w:sz w:val="22"/>
                <w:szCs w:val="22"/>
                <w:color w:val="auto"/>
              </w:rPr>
              <w:t>52 Weeks</w:t>
            </w:r>
          </w:p>
        </w:tc>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52 Weeks*</w:t>
            </w:r>
          </w:p>
        </w:tc>
      </w:tr>
      <w:tr>
        <w:trPr>
          <w:trHeight w:val="520"/>
        </w:trPr>
        <w:tc>
          <w:tcPr>
            <w:tcW w:w="4540" w:type="dxa"/>
            <w:vAlign w:val="bottom"/>
          </w:tcPr>
          <w:p>
            <w:pPr>
              <w:spacing w:after="0"/>
              <w:rPr>
                <w:sz w:val="20"/>
                <w:szCs w:val="20"/>
                <w:color w:val="auto"/>
              </w:rPr>
            </w:pPr>
            <w:r>
              <w:rPr>
                <w:rFonts w:ascii="Times New Roman" w:cs="Times New Roman" w:eastAsia="Times New Roman" w:hAnsi="Times New Roman"/>
                <w:sz w:val="22"/>
                <w:szCs w:val="22"/>
                <w:color w:val="auto"/>
              </w:rPr>
              <w:t>Domestic</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4.8%</w:t>
            </w:r>
          </w:p>
        </w:tc>
        <w:tc>
          <w:tcPr>
            <w:tcW w:w="80" w:type="dxa"/>
            <w:vAlign w:val="bottom"/>
          </w:tcPr>
          <w:p>
            <w:pPr>
              <w:spacing w:after="0"/>
              <w:rPr>
                <w:sz w:val="24"/>
                <w:szCs w:val="24"/>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4.8%</w:t>
            </w:r>
          </w:p>
        </w:tc>
        <w:tc>
          <w:tcPr>
            <w:tcW w:w="420" w:type="dxa"/>
            <w:vAlign w:val="bottom"/>
          </w:tcPr>
          <w:p>
            <w:pPr>
              <w:spacing w:after="0"/>
              <w:rPr>
                <w:sz w:val="24"/>
                <w:szCs w:val="24"/>
                <w:color w:val="auto"/>
              </w:rPr>
            </w:pPr>
          </w:p>
        </w:tc>
        <w:tc>
          <w:tcPr>
            <w:tcW w:w="14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3.2%</w:t>
            </w:r>
          </w:p>
        </w:tc>
        <w:tc>
          <w:tcPr>
            <w:tcW w:w="400" w:type="dxa"/>
            <w:vAlign w:val="bottom"/>
          </w:tcPr>
          <w:p>
            <w:pPr>
              <w:spacing w:after="0"/>
              <w:rPr>
                <w:sz w:val="24"/>
                <w:szCs w:val="24"/>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66"/>
        </w:trPr>
        <w:tc>
          <w:tcPr>
            <w:tcW w:w="4540" w:type="dxa"/>
            <w:vAlign w:val="bottom"/>
          </w:tcPr>
          <w:p>
            <w:pPr>
              <w:spacing w:after="0"/>
              <w:rPr>
                <w:sz w:val="20"/>
                <w:szCs w:val="20"/>
                <w:color w:val="auto"/>
              </w:rPr>
            </w:pPr>
            <w:r>
              <w:rPr>
                <w:rFonts w:ascii="Times New Roman" w:cs="Times New Roman" w:eastAsia="Times New Roman" w:hAnsi="Times New Roman"/>
                <w:sz w:val="22"/>
                <w:szCs w:val="22"/>
                <w:color w:val="auto"/>
              </w:rPr>
              <w:t>International</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c>
          <w:tcPr>
            <w:tcW w:w="8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w:t>
            </w:r>
          </w:p>
        </w:tc>
        <w:tc>
          <w:tcPr>
            <w:tcW w:w="4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c>
          <w:tcPr>
            <w:tcW w:w="4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w:t>
            </w:r>
          </w:p>
        </w:tc>
      </w:tr>
      <w:tr>
        <w:trPr>
          <w:trHeight w:val="286"/>
        </w:trPr>
        <w:tc>
          <w:tcPr>
            <w:tcW w:w="45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Total Company</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c>
          <w:tcPr>
            <w:tcW w:w="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c>
          <w:tcPr>
            <w:tcW w:w="420" w:type="dxa"/>
            <w:vAlign w:val="bottom"/>
          </w:tcPr>
          <w:p>
            <w:pPr>
              <w:spacing w:after="0"/>
              <w:rPr>
                <w:sz w:val="24"/>
                <w:szCs w:val="24"/>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2.4%</w:t>
            </w:r>
          </w:p>
        </w:tc>
        <w:tc>
          <w:tcPr>
            <w:tcW w:w="4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bl>
    <w:p>
      <w:pPr>
        <w:ind w:left="280"/>
        <w:spacing w:after="0"/>
        <w:rPr>
          <w:sz w:val="20"/>
          <w:szCs w:val="20"/>
          <w:color w:val="auto"/>
        </w:rPr>
      </w:pPr>
      <w:r>
        <w:rPr>
          <w:rFonts w:ascii="Times New Roman" w:cs="Times New Roman" w:eastAsia="Times New Roman" w:hAnsi="Times New Roman"/>
          <w:sz w:val="22"/>
          <w:szCs w:val="22"/>
          <w:color w:val="auto"/>
        </w:rPr>
        <w:t>* Excludes impacts from fluctuations of foreign exchange rates.</w:t>
      </w:r>
    </w:p>
    <w:p>
      <w:pPr>
        <w:spacing w:after="0" w:line="200" w:lineRule="exact"/>
        <w:rPr>
          <w:sz w:val="20"/>
          <w:szCs w:val="20"/>
          <w:color w:val="auto"/>
        </w:rPr>
      </w:pPr>
    </w:p>
    <w:p>
      <w:pPr>
        <w:spacing w:after="0" w:line="250"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For the quarter, gross profit, as a percentage of sales, was 51.5%, a decrease of 98 basis points versus the prior year. The decrease in gross margin was driven by a 128 basis point non-cash LIFO impact ($80 million LIFO charge in the current quarter versus none in the prior year), partially offset by higher merchandise margins. Operating expenses, as a percentage of sales, were 32.4% versus last year at 31.6%. Deleverage was primarily driven by investments to support our growth initiatives.</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Operating profit decreased 7.8% to $1.2 billion. Net income for the quarter was $837.0 million compared to $902.2 million in the prior year, while diluted earnings per share decreased 5.6% to $48.71.</w:t>
      </w:r>
    </w:p>
    <w:p>
      <w:pPr>
        <w:spacing w:after="0" w:line="158"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For the fiscal year ended August 30, 2025, net sales were $18.9 billion, an increase of 2.4% from the prior year. Gross profit, as a percentage of sales, was 52.6% versus last year at 53.1%. The decrease in gross margin was impacted by a 55 basis point non-cash LIFO impact ($64 million LIFO charge in the current year versus $40 million LIFO benefit in the prior year). Operating expenses, as a percentage of sales, were 33.6% versus last year at 32.6%. Operating profit decreased 4.7% to $3.6 billion, net income decreased 6.2% to $2.5 billion and diluted earnings per share decreased 3.1% to $144.87 from $149.55.</w:t>
      </w:r>
    </w:p>
    <w:p>
      <w:pPr>
        <w:spacing w:after="0" w:line="17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Under its share repurchase program, AutoZone repurchased 117 thousand shares of its common stock during the fourth quarter, at an average price per share of $3,821, for a total investment of $446.7 million. For the fiscal year, the Company repurchased 447 thousand shares of its common stock, at an average price of $3,425, for a total investment of $1.5 billion. At year end, the Company had $632.3 million remaining under its current share repurchase authorization.</w:t>
      </w:r>
    </w:p>
    <w:p>
      <w:pPr>
        <w:spacing w:after="0" w:line="180" w:lineRule="exact"/>
        <w:rPr>
          <w:sz w:val="20"/>
          <w:szCs w:val="20"/>
          <w:color w:val="auto"/>
        </w:rPr>
      </w:pPr>
    </w:p>
    <w:p>
      <w:pPr>
        <w:jc w:val="both"/>
        <w:ind w:right="80"/>
        <w:spacing w:after="0" w:line="244" w:lineRule="auto"/>
        <w:rPr>
          <w:sz w:val="20"/>
          <w:szCs w:val="20"/>
          <w:color w:val="auto"/>
        </w:rPr>
      </w:pPr>
      <w:r>
        <w:rPr>
          <w:rFonts w:ascii="Times New Roman" w:cs="Times New Roman" w:eastAsia="Times New Roman" w:hAnsi="Times New Roman"/>
          <w:sz w:val="22"/>
          <w:szCs w:val="22"/>
          <w:color w:val="auto"/>
        </w:rPr>
        <w:t>The Company’s inventory increased 14.1% over the same period last year, driven primarily by growth initiatives. Net inventory, defined as merchandise inventories less accounts payable, on a per store basis, was negative $131 thousand versus negative $163 thousand last year and negative $142 thousand last quarter.</w:t>
      </w:r>
    </w:p>
    <w:p>
      <w:pPr>
        <w:spacing w:after="0" w:line="173"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22"/>
          <w:szCs w:val="22"/>
          <w:color w:val="auto"/>
        </w:rPr>
        <w:t>“I would like to thank our entire organization for delivering another strong quarter of sales growth. We continue to be pleased with the results of our strategies to grow both our domestic and international DIY and Commercial sales. Domestically, both DIY and Commercial sales improved sequentially throughout the quarter, and we are pleased with our momentum heading into our new fiscal year. Our international business also continued to deliver strong results, growing same store sales 7.2% on a constant currency basis. We were especially pleased to have opened 141 net new stores globally in the quarter and 304 net new stores for the year. We expect to aggressively open stores in the new year as we continue to focus on growing our market share over time. As we continue to invest in our business, we expect that our disciplined approach of increasing earnings and cash flow will deliver strong shareholder value,” said Phil Daniele, President and Chief Executive Officer.</w:t>
      </w:r>
    </w:p>
    <w:p>
      <w:pPr>
        <w:spacing w:after="0" w:line="178" w:lineRule="exact"/>
        <w:rPr>
          <w:sz w:val="20"/>
          <w:szCs w:val="20"/>
          <w:color w:val="auto"/>
        </w:rPr>
      </w:pPr>
    </w:p>
    <w:p>
      <w:pPr>
        <w:jc w:val="both"/>
        <w:ind w:right="60"/>
        <w:spacing w:after="0" w:line="244" w:lineRule="auto"/>
        <w:rPr>
          <w:sz w:val="20"/>
          <w:szCs w:val="20"/>
          <w:color w:val="auto"/>
        </w:rPr>
      </w:pPr>
      <w:r>
        <w:rPr>
          <w:rFonts w:ascii="Times New Roman" w:cs="Times New Roman" w:eastAsia="Times New Roman" w:hAnsi="Times New Roman"/>
          <w:sz w:val="22"/>
          <w:szCs w:val="22"/>
          <w:color w:val="auto"/>
        </w:rPr>
        <w:t>During the quarter ended August 30, 2025, AutoZone opened 91 new stores and closed one in the U.S., opened 45 in Mexico and 6 in Brazil for a total of 141 net new stores. For the fiscal year, the Company opened 304 net new stores. As of August 30, 2025, the Company had 6,627 stores in the U.S., 883 in Mexico and 147 in Brazil for a total store count of 7,657.</w:t>
      </w:r>
    </w:p>
    <w:p>
      <w:pPr>
        <w:spacing w:after="0" w:line="173"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1"/>
          <w:szCs w:val="21"/>
          <w:color w:val="auto"/>
        </w:rPr>
        <w:t>AutoZone is the leading retailer and distributor of automotive replacement parts and accessories in the Americas. Each store carries an extensive product line for cars, sport utility vehicles, vans and light duty trucks, including new and remanufactured automotive hard parts, maintenance items, accessories, and non-automotive products. The majority of stores have a commercial sales program that provides prompt delivery of parts and other products and commercial credit to local, regional and national repair garages, dealers, service stations, fleet owners and other accounts. AutoZone also sells automotive hard parts, maintenance items, accessories and non-automotive products through www.autozone.com, and our commercial customers can make purchases through www.autozonepro.com. Additionally, we sell the ALLDATA brand of automotive diagnostic, repair, collision and shop management software through www.alldata.com. We also provide product information on our Duralast branded products through www.duralastparts.com. AutoZone does not derive revenue from automotive repair or installation services.</w:t>
      </w:r>
    </w:p>
    <w:p>
      <w:pPr>
        <w:sectPr>
          <w:pgSz w:w="11900" w:h="16838" w:orient="portrait"/>
          <w:cols w:equalWidth="0" w:num="1">
            <w:col w:w="11240"/>
          </w:cols>
          <w:pgMar w:left="320" w:top="108" w:right="339" w:bottom="69" w:gutter="0" w:footer="0" w:header="0"/>
        </w:sectPr>
      </w:pPr>
    </w:p>
    <w:bookmarkStart w:id="4" w:name="page5"/>
    <w:bookmarkEnd w:id="4"/>
    <w:p>
      <w:pPr>
        <w:spacing w:after="0" w:line="78" w:lineRule="exact"/>
        <w:rPr>
          <w:sz w:val="20"/>
          <w:szCs w:val="20"/>
          <w:color w:val="auto"/>
        </w:rPr>
      </w:pPr>
    </w:p>
    <w:p>
      <w:pPr>
        <w:ind w:right="180"/>
        <w:spacing w:after="0" w:line="238" w:lineRule="auto"/>
        <w:rPr>
          <w:sz w:val="20"/>
          <w:szCs w:val="20"/>
          <w:color w:val="auto"/>
        </w:rPr>
      </w:pPr>
      <w:r>
        <w:rPr>
          <w:rFonts w:ascii="Times New Roman" w:cs="Times New Roman" w:eastAsia="Times New Roman" w:hAnsi="Times New Roman"/>
          <w:sz w:val="22"/>
          <w:szCs w:val="22"/>
          <w:color w:val="auto"/>
        </w:rPr>
        <w:t>AutoZone will host a conference call this morning, Tuesday, September 23, 2025, beginning at 10:00 a.m. (ET) to discuss its fourth quarter results. This call is being webcast and can be accessed, along with supporting slides, at AutoZone’s website at www.autozone.com by clicking on Investor Relations. Investors may also listen to the call by dialing (888) 506-0062, passcode 347798. In addition, a telephone replay will be available by dialing (877) 481-4010, replay passcode 52824 through October 7, 2025.</w:t>
      </w:r>
    </w:p>
    <w:p>
      <w:pPr>
        <w:spacing w:after="0" w:line="177"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1"/>
          <w:szCs w:val="21"/>
          <w:color w:val="auto"/>
        </w:rPr>
        <w:t>This release includes certain financial information not derived in accordance with generally accepted accounting principles (“GAAP”). These non-GAAP measures include adjustments to exclude the additional week in the prior year’s fourth quarter and fiscal year, return on invested capital, adjusted debt and adjusted debt to earnings before interest, taxes, depreciation, amortization, rent and share-based expense (“EBITDAR”). The Company believes that the presentation of these non-GAAP measures provides information that is useful to investors as it indicates more clearly the Company’s comparative year-to-year operating results, but this information should not be considered a substitute for any measures derived in accordance with GAAP. Management targets the Company’s capital structure in order to maintain its investment grade credit ratings. The Company believes this is important information for the management of its debt levels and share repurchases. We have included a reconciliation of this additional information to the most comparable GAAP measures in the accompanying reconciliation tables.</w:t>
      </w:r>
    </w:p>
    <w:p>
      <w:pPr>
        <w:spacing w:after="0" w:line="175"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1"/>
          <w:szCs w:val="21"/>
          <w:color w:val="auto"/>
        </w:rPr>
        <w:t>Certain statements herein constitute forward-looking statements that are subject to the safe harbor provisions of the Private Securities Litigation Reform Act of 1995. Forward-looking statements typically use words such as “believe,” “anticipate,” “should,” “intend,” “plan,” “will,” “expect,” “estimate,” “project,” “positioned,” “strategy,” “seek,” “may,” “could” and similar expressions. These statements are based on assumptions and assessments made by our management in light of experience, historical trends, current conditions, expected future developments and other factors that we believe appropriate. These forward-looking statements are subject to a number of risks and uncertainties, including without limitation: product demand, due to changes in fuel prices, miles driven or otherwise; energy prices; weather, including extreme temperatures and natural disasters; competition; credit market conditions; cash flows; access to financing on favorable terms; future stock repurchases; the impact of recessionary conditions; consumer debt levels; changes in laws or regulations; risks associated with self-insurance; war and the prospect of war, including terrorist activity; public health issues; inflation, including wage inflation; exchange rates; the ability to hire, train and retain qualified employees, including members of management; construction delays; failure or interruption of our information technology systems; issues relating to the confidentiality, integrity or availability of information, including due to cyber-attacks; historic growth rate sustainability; downgrade of our credit ratings; damage to our reputation; challenges associated with doing business in and expanding into international markets; origin and raw material costs of suppliers; inventory availability; disruption in our supply chain; tariffs, trade policies and other geopolitical factors; new accounting standards; our ability to execute our growth initiatives; and other business interruptions. These and other risks and uncertainties are discussed in more detail in the “Risk Factors” section contained in Item 1A under Part 1 of our Annual Report on Form 10-K for the year ended August 31, 2024. Forward-looking statements are not guarantees of future performance and actual results may differ materially from those contemplated by such forward-looking statements. Events described above and in the “Risk Factors” could materially and adversely affect our business. However, it is not possible to identify or predict all such risks and other factors that could affect these forward-looking statements. Forward-looking statements speak only as of the date made. Except as required by applicable law, we undertake no obligation to update publicly any forward-looking statements, whether as a result of new information, future events or otherwise.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 Information: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Financial: Brian Campbell at (901) 495-7005, brian.campbell@autozone.com</w:t>
      </w:r>
    </w:p>
    <w:p>
      <w:pPr>
        <w:spacing w:after="0"/>
        <w:rPr>
          <w:sz w:val="20"/>
          <w:szCs w:val="20"/>
          <w:color w:val="auto"/>
        </w:rPr>
      </w:pPr>
      <w:r>
        <w:rPr>
          <w:rFonts w:ascii="Times New Roman" w:cs="Times New Roman" w:eastAsia="Times New Roman" w:hAnsi="Times New Roman"/>
          <w:sz w:val="22"/>
          <w:szCs w:val="22"/>
          <w:color w:val="auto"/>
        </w:rPr>
        <w:t>Media: Jennifer Hughes at (901) 495-6022, jennifer.hughes@autozone.com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20" w:type="dxa"/>
        <w:tblCellMar>
          <w:top w:w="0" w:type="dxa"/>
          <w:left w:w="0" w:type="dxa"/>
          <w:bottom w:w="0" w:type="dxa"/>
          <w:right w:w="0" w:type="dxa"/>
        </w:tblCellMar>
      </w:tblPr>
      <w:tr>
        <w:trPr>
          <w:trHeight w:val="286"/>
        </w:trPr>
        <w:tc>
          <w:tcPr>
            <w:tcW w:w="73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AutoZone's 4th Quarter Highlights - Fiscal 2025</w:t>
            </w: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4"/>
        </w:trPr>
        <w:tc>
          <w:tcPr>
            <w:tcW w:w="73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Operations</w:t>
            </w: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73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4th Quarter, FY2025</w:t>
            </w:r>
          </w:p>
        </w:tc>
        <w:tc>
          <w:tcPr>
            <w:tcW w:w="1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(in thousands, except per share data)</w:t>
            </w:r>
          </w:p>
        </w:tc>
        <w:tc>
          <w:tcPr>
            <w:tcW w:w="140" w:type="dxa"/>
            <w:vAlign w:val="bottom"/>
          </w:tcPr>
          <w:p>
            <w:pPr>
              <w:spacing w:after="0"/>
              <w:rPr>
                <w:sz w:val="24"/>
                <w:szCs w:val="24"/>
                <w:color w:val="auto"/>
              </w:rPr>
            </w:pPr>
          </w:p>
        </w:tc>
        <w:tc>
          <w:tcPr>
            <w:tcW w:w="3680" w:type="dxa"/>
            <w:vAlign w:val="bottom"/>
            <w:gridSpan w:val="4"/>
            <w:vMerge w:val="restart"/>
          </w:tcPr>
          <w:p>
            <w:pPr>
              <w:jc w:val="right"/>
              <w:ind w:right="1132"/>
              <w:spacing w:after="0"/>
              <w:rPr>
                <w:sz w:val="20"/>
                <w:szCs w:val="20"/>
                <w:color w:val="auto"/>
              </w:rPr>
            </w:pPr>
            <w:r>
              <w:rPr>
                <w:rFonts w:ascii="Times New Roman" w:cs="Times New Roman" w:eastAsia="Times New Roman" w:hAnsi="Times New Roman"/>
                <w:sz w:val="22"/>
                <w:szCs w:val="22"/>
                <w:b w:val="1"/>
                <w:bCs w:val="1"/>
                <w:color w:val="auto"/>
              </w:rPr>
              <w:t>GAAP Results</w:t>
            </w:r>
          </w:p>
        </w:tc>
        <w:tc>
          <w:tcPr>
            <w:tcW w:w="0" w:type="dxa"/>
            <w:vAlign w:val="bottom"/>
          </w:tcPr>
          <w:p>
            <w:pPr>
              <w:spacing w:after="0"/>
              <w:rPr>
                <w:sz w:val="1"/>
                <w:szCs w:val="1"/>
                <w:color w:val="auto"/>
              </w:rPr>
            </w:pPr>
          </w:p>
        </w:tc>
      </w:tr>
      <w:tr>
        <w:trPr>
          <w:trHeight w:val="271"/>
        </w:trPr>
        <w:tc>
          <w:tcPr>
            <w:tcW w:w="73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3680" w:type="dxa"/>
            <w:vAlign w:val="bottom"/>
            <w:tcBorders>
              <w:bottom w:val="single" w:sz="8" w:color="auto"/>
            </w:tcBorders>
            <w:gridSpan w:val="4"/>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7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80" w:type="dxa"/>
            <w:vAlign w:val="bottom"/>
            <w:gridSpan w:val="2"/>
          </w:tcPr>
          <w:p>
            <w:pPr>
              <w:spacing w:after="0" w:line="246" w:lineRule="exact"/>
              <w:rPr>
                <w:sz w:val="20"/>
                <w:szCs w:val="20"/>
                <w:color w:val="auto"/>
              </w:rPr>
            </w:pPr>
            <w:r>
              <w:rPr>
                <w:rFonts w:ascii="Times New Roman" w:cs="Times New Roman" w:eastAsia="Times New Roman" w:hAnsi="Times New Roman"/>
                <w:sz w:val="22"/>
                <w:szCs w:val="22"/>
                <w:b w:val="1"/>
                <w:bCs w:val="1"/>
                <w:color w:val="auto"/>
              </w:rPr>
              <w:t>16 Weeks Ended</w:t>
            </w:r>
          </w:p>
        </w:tc>
        <w:tc>
          <w:tcPr>
            <w:tcW w:w="120" w:type="dxa"/>
            <w:vAlign w:val="bottom"/>
          </w:tcPr>
          <w:p>
            <w:pPr>
              <w:spacing w:after="0"/>
              <w:rPr>
                <w:sz w:val="21"/>
                <w:szCs w:val="21"/>
                <w:color w:val="auto"/>
              </w:rPr>
            </w:pPr>
          </w:p>
        </w:tc>
        <w:tc>
          <w:tcPr>
            <w:tcW w:w="1680" w:type="dxa"/>
            <w:vAlign w:val="bottom"/>
          </w:tcPr>
          <w:p>
            <w:pPr>
              <w:jc w:val="right"/>
              <w:ind w:right="32"/>
              <w:spacing w:after="0" w:line="246" w:lineRule="exact"/>
              <w:rPr>
                <w:sz w:val="20"/>
                <w:szCs w:val="20"/>
                <w:color w:val="auto"/>
              </w:rPr>
            </w:pPr>
            <w:r>
              <w:rPr>
                <w:rFonts w:ascii="Times New Roman" w:cs="Times New Roman" w:eastAsia="Times New Roman" w:hAnsi="Times New Roman"/>
                <w:sz w:val="22"/>
                <w:szCs w:val="22"/>
                <w:b w:val="1"/>
                <w:bCs w:val="1"/>
                <w:color w:val="auto"/>
                <w:w w:val="97"/>
              </w:rPr>
              <w:t>17 Weeks Ended</w:t>
            </w:r>
          </w:p>
        </w:tc>
        <w:tc>
          <w:tcPr>
            <w:tcW w:w="0" w:type="dxa"/>
            <w:vAlign w:val="bottom"/>
          </w:tcPr>
          <w:p>
            <w:pPr>
              <w:spacing w:after="0"/>
              <w:rPr>
                <w:sz w:val="1"/>
                <w:szCs w:val="1"/>
                <w:color w:val="auto"/>
              </w:rPr>
            </w:pPr>
          </w:p>
        </w:tc>
      </w:tr>
      <w:tr>
        <w:trPr>
          <w:trHeight w:val="287"/>
        </w:trPr>
        <w:tc>
          <w:tcPr>
            <w:tcW w:w="7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August 30, 2025</w:t>
            </w:r>
          </w:p>
        </w:tc>
        <w:tc>
          <w:tcPr>
            <w:tcW w:w="120" w:type="dxa"/>
            <w:vAlign w:val="bottom"/>
          </w:tcPr>
          <w:p>
            <w:pPr>
              <w:spacing w:after="0"/>
              <w:rPr>
                <w:sz w:val="24"/>
                <w:szCs w:val="24"/>
                <w:color w:val="auto"/>
              </w:rPr>
            </w:pPr>
          </w:p>
        </w:tc>
        <w:tc>
          <w:tcPr>
            <w:tcW w:w="1680" w:type="dxa"/>
            <w:vAlign w:val="bottom"/>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w w:val="98"/>
              </w:rPr>
              <w:t>August 31, 2024</w:t>
            </w:r>
          </w:p>
        </w:tc>
        <w:tc>
          <w:tcPr>
            <w:tcW w:w="0" w:type="dxa"/>
            <w:vAlign w:val="bottom"/>
          </w:tcPr>
          <w:p>
            <w:pPr>
              <w:spacing w:after="0"/>
              <w:rPr>
                <w:sz w:val="1"/>
                <w:szCs w:val="1"/>
                <w:color w:val="auto"/>
              </w:rPr>
            </w:pPr>
          </w:p>
        </w:tc>
      </w:tr>
      <w:tr>
        <w:trPr>
          <w:trHeight w:val="52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Net sales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6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6,242,726</w:t>
            </w:r>
          </w:p>
        </w:tc>
        <w:tc>
          <w:tcPr>
            <w:tcW w:w="22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6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6,205,380</w:t>
            </w:r>
          </w:p>
        </w:tc>
        <w:tc>
          <w:tcPr>
            <w:tcW w:w="0" w:type="dxa"/>
            <w:vAlign w:val="bottom"/>
          </w:tcPr>
          <w:p>
            <w:pPr>
              <w:spacing w:after="0"/>
              <w:rPr>
                <w:sz w:val="1"/>
                <w:szCs w:val="1"/>
                <w:color w:val="auto"/>
              </w:rPr>
            </w:pPr>
          </w:p>
        </w:tc>
      </w:tr>
      <w:tr>
        <w:trPr>
          <w:trHeight w:val="282"/>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Cost of sales</w:t>
            </w: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3,026,233</w:t>
            </w: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2,947,517</w:t>
            </w:r>
          </w:p>
        </w:tc>
        <w:tc>
          <w:tcPr>
            <w:tcW w:w="0" w:type="dxa"/>
            <w:vAlign w:val="bottom"/>
          </w:tcPr>
          <w:p>
            <w:pPr>
              <w:spacing w:after="0"/>
              <w:rPr>
                <w:sz w:val="1"/>
                <w:szCs w:val="1"/>
                <w:color w:val="auto"/>
              </w:rPr>
            </w:pPr>
          </w:p>
        </w:tc>
      </w:tr>
      <w:tr>
        <w:trPr>
          <w:trHeight w:val="251"/>
        </w:trPr>
        <w:tc>
          <w:tcPr>
            <w:tcW w:w="730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Gross profit</w:t>
            </w:r>
          </w:p>
        </w:tc>
        <w:tc>
          <w:tcPr>
            <w:tcW w:w="140" w:type="dxa"/>
            <w:vAlign w:val="bottom"/>
          </w:tcPr>
          <w:p>
            <w:pPr>
              <w:spacing w:after="0"/>
              <w:rPr>
                <w:sz w:val="21"/>
                <w:szCs w:val="21"/>
                <w:color w:val="auto"/>
              </w:rPr>
            </w:pPr>
          </w:p>
        </w:tc>
        <w:tc>
          <w:tcPr>
            <w:tcW w:w="166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3,216,493</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3,257,863</w:t>
            </w:r>
          </w:p>
        </w:tc>
        <w:tc>
          <w:tcPr>
            <w:tcW w:w="0" w:type="dxa"/>
            <w:vAlign w:val="bottom"/>
          </w:tcPr>
          <w:p>
            <w:pPr>
              <w:spacing w:after="0"/>
              <w:rPr>
                <w:sz w:val="1"/>
                <w:szCs w:val="1"/>
                <w:color w:val="auto"/>
              </w:rPr>
            </w:pPr>
          </w:p>
        </w:tc>
      </w:tr>
      <w:tr>
        <w:trPr>
          <w:trHeight w:val="282"/>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Operating, SG&amp;A expenses</w:t>
            </w: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2,020,428</w:t>
            </w: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1,961,183</w:t>
            </w:r>
          </w:p>
        </w:tc>
        <w:tc>
          <w:tcPr>
            <w:tcW w:w="0" w:type="dxa"/>
            <w:vAlign w:val="bottom"/>
          </w:tcPr>
          <w:p>
            <w:pPr>
              <w:spacing w:after="0"/>
              <w:rPr>
                <w:sz w:val="1"/>
                <w:szCs w:val="1"/>
                <w:color w:val="auto"/>
              </w:rPr>
            </w:pPr>
          </w:p>
        </w:tc>
      </w:tr>
      <w:tr>
        <w:trPr>
          <w:trHeight w:val="251"/>
        </w:trPr>
        <w:tc>
          <w:tcPr>
            <w:tcW w:w="730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Operating profit (EBIT)</w:t>
            </w:r>
          </w:p>
        </w:tc>
        <w:tc>
          <w:tcPr>
            <w:tcW w:w="140" w:type="dxa"/>
            <w:vAlign w:val="bottom"/>
          </w:tcPr>
          <w:p>
            <w:pPr>
              <w:spacing w:after="0"/>
              <w:rPr>
                <w:sz w:val="21"/>
                <w:szCs w:val="21"/>
                <w:color w:val="auto"/>
              </w:rPr>
            </w:pPr>
          </w:p>
        </w:tc>
        <w:tc>
          <w:tcPr>
            <w:tcW w:w="166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1,196,065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1,296,680</w:t>
            </w:r>
          </w:p>
        </w:tc>
        <w:tc>
          <w:tcPr>
            <w:tcW w:w="0" w:type="dxa"/>
            <w:vAlign w:val="bottom"/>
          </w:tcPr>
          <w:p>
            <w:pPr>
              <w:spacing w:after="0"/>
              <w:rPr>
                <w:sz w:val="1"/>
                <w:szCs w:val="1"/>
                <w:color w:val="auto"/>
              </w:rPr>
            </w:pPr>
          </w:p>
        </w:tc>
      </w:tr>
      <w:tr>
        <w:trPr>
          <w:trHeight w:val="282"/>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Interest expense, net</w:t>
            </w: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148,087</w:t>
            </w: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153,151</w:t>
            </w:r>
          </w:p>
        </w:tc>
        <w:tc>
          <w:tcPr>
            <w:tcW w:w="0" w:type="dxa"/>
            <w:vAlign w:val="bottom"/>
          </w:tcPr>
          <w:p>
            <w:pPr>
              <w:spacing w:after="0"/>
              <w:rPr>
                <w:sz w:val="1"/>
                <w:szCs w:val="1"/>
                <w:color w:val="auto"/>
              </w:rPr>
            </w:pPr>
          </w:p>
        </w:tc>
      </w:tr>
      <w:tr>
        <w:trPr>
          <w:trHeight w:val="251"/>
        </w:trPr>
        <w:tc>
          <w:tcPr>
            <w:tcW w:w="730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Income before taxes</w:t>
            </w:r>
          </w:p>
        </w:tc>
        <w:tc>
          <w:tcPr>
            <w:tcW w:w="140" w:type="dxa"/>
            <w:vAlign w:val="bottom"/>
          </w:tcPr>
          <w:p>
            <w:pPr>
              <w:spacing w:after="0"/>
              <w:rPr>
                <w:sz w:val="21"/>
                <w:szCs w:val="21"/>
                <w:color w:val="auto"/>
              </w:rPr>
            </w:pPr>
          </w:p>
        </w:tc>
        <w:tc>
          <w:tcPr>
            <w:tcW w:w="166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1,047,978</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1,143,529</w:t>
            </w:r>
          </w:p>
        </w:tc>
        <w:tc>
          <w:tcPr>
            <w:tcW w:w="0" w:type="dxa"/>
            <w:vAlign w:val="bottom"/>
          </w:tcPr>
          <w:p>
            <w:pPr>
              <w:spacing w:after="0"/>
              <w:rPr>
                <w:sz w:val="1"/>
                <w:szCs w:val="1"/>
                <w:color w:val="auto"/>
              </w:rPr>
            </w:pPr>
          </w:p>
        </w:tc>
      </w:tr>
      <w:tr>
        <w:trPr>
          <w:trHeight w:val="283"/>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Income tax expense</w:t>
            </w: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211,027</w:t>
            </w: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241,321</w:t>
            </w:r>
          </w:p>
        </w:tc>
        <w:tc>
          <w:tcPr>
            <w:tcW w:w="0" w:type="dxa"/>
            <w:vAlign w:val="bottom"/>
          </w:tcPr>
          <w:p>
            <w:pPr>
              <w:spacing w:after="0"/>
              <w:rPr>
                <w:sz w:val="1"/>
                <w:szCs w:val="1"/>
                <w:color w:val="auto"/>
              </w:rPr>
            </w:pPr>
          </w:p>
        </w:tc>
      </w:tr>
      <w:tr>
        <w:trPr>
          <w:trHeight w:val="264"/>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Net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6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836,951</w:t>
            </w:r>
          </w:p>
        </w:tc>
        <w:tc>
          <w:tcPr>
            <w:tcW w:w="2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6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902,208</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Net income per share:</w:t>
            </w: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2"/>
        </w:trPr>
        <w:tc>
          <w:tcPr>
            <w:tcW w:w="730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917" w:orient="portrait"/>
          <w:cols w:equalWidth="0" w:num="1">
            <w:col w:w="11200"/>
          </w:cols>
          <w:pgMar w:left="320" w:top="112" w:right="379" w:bottom="0" w:gutter="0" w:footer="0" w:header="0"/>
        </w:sectPr>
      </w:pPr>
    </w:p>
    <w:bookmarkStart w:id="5" w:name="page6"/>
    <w:bookmarkEnd w:id="5"/>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Basic</w:t>
            </w: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6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50.02</w:t>
            </w:r>
          </w:p>
        </w:tc>
        <w:tc>
          <w:tcPr>
            <w:tcW w:w="220" w:type="dxa"/>
            <w:vAlign w:val="bottom"/>
          </w:tcPr>
          <w:p>
            <w:pPr>
              <w:spacing w:after="0"/>
              <w:rPr>
                <w:sz w:val="23"/>
                <w:szCs w:val="23"/>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52.98</w:t>
            </w:r>
          </w:p>
        </w:tc>
        <w:tc>
          <w:tcPr>
            <w:tcW w:w="0" w:type="dxa"/>
            <w:vAlign w:val="bottom"/>
          </w:tcPr>
          <w:p>
            <w:pPr>
              <w:spacing w:after="0"/>
              <w:rPr>
                <w:sz w:val="1"/>
                <w:szCs w:val="1"/>
                <w:color w:val="auto"/>
              </w:rPr>
            </w:pPr>
          </w:p>
        </w:tc>
      </w:tr>
      <w:tr>
        <w:trPr>
          <w:trHeight w:val="270"/>
        </w:trPr>
        <w:tc>
          <w:tcPr>
            <w:tcW w:w="7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6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48.71</w:t>
            </w:r>
          </w:p>
        </w:tc>
        <w:tc>
          <w:tcPr>
            <w:tcW w:w="220" w:type="dxa"/>
            <w:vAlign w:val="bottom"/>
          </w:tcPr>
          <w:p>
            <w:pPr>
              <w:spacing w:after="0"/>
              <w:rPr>
                <w:sz w:val="23"/>
                <w:szCs w:val="23"/>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51.58</w:t>
            </w: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Weighted average shares outstanding:</w:t>
            </w:r>
          </w:p>
        </w:tc>
        <w:tc>
          <w:tcPr>
            <w:tcW w:w="1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Basic</w:t>
            </w:r>
          </w:p>
        </w:tc>
        <w:tc>
          <w:tcPr>
            <w:tcW w:w="140" w:type="dxa"/>
            <w:vAlign w:val="bottom"/>
          </w:tcPr>
          <w:p>
            <w:pPr>
              <w:spacing w:after="0"/>
              <w:rPr>
                <w:sz w:val="23"/>
                <w:szCs w:val="23"/>
                <w:color w:val="auto"/>
              </w:rPr>
            </w:pPr>
          </w:p>
        </w:tc>
        <w:tc>
          <w:tcPr>
            <w:tcW w:w="16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16,731</w:t>
            </w: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17,030</w:t>
            </w:r>
          </w:p>
        </w:tc>
        <w:tc>
          <w:tcPr>
            <w:tcW w:w="0" w:type="dxa"/>
            <w:vAlign w:val="bottom"/>
          </w:tcPr>
          <w:p>
            <w:pPr>
              <w:spacing w:after="0"/>
              <w:rPr>
                <w:sz w:val="1"/>
                <w:szCs w:val="1"/>
                <w:color w:val="auto"/>
              </w:rPr>
            </w:pPr>
          </w:p>
        </w:tc>
      </w:tr>
      <w:tr>
        <w:trPr>
          <w:trHeight w:val="282"/>
        </w:trPr>
        <w:tc>
          <w:tcPr>
            <w:tcW w:w="7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Diluted</w:t>
            </w:r>
          </w:p>
        </w:tc>
        <w:tc>
          <w:tcPr>
            <w:tcW w:w="140" w:type="dxa"/>
            <w:vAlign w:val="bottom"/>
          </w:tcPr>
          <w:p>
            <w:pPr>
              <w:spacing w:after="0"/>
              <w:rPr>
                <w:sz w:val="24"/>
                <w:szCs w:val="24"/>
                <w:color w:val="auto"/>
              </w:rPr>
            </w:pPr>
          </w:p>
        </w:tc>
        <w:tc>
          <w:tcPr>
            <w:tcW w:w="16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17,181</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17,491</w:t>
            </w:r>
          </w:p>
        </w:tc>
        <w:tc>
          <w:tcPr>
            <w:tcW w:w="0" w:type="dxa"/>
            <w:vAlign w:val="bottom"/>
          </w:tcPr>
          <w:p>
            <w:pPr>
              <w:spacing w:after="0"/>
              <w:rPr>
                <w:sz w:val="1"/>
                <w:szCs w:val="1"/>
                <w:color w:val="auto"/>
              </w:rPr>
            </w:pPr>
          </w:p>
        </w:tc>
      </w:tr>
      <w:tr>
        <w:trPr>
          <w:trHeight w:val="541"/>
        </w:trPr>
        <w:tc>
          <w:tcPr>
            <w:tcW w:w="7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3"/>
          </w:tcPr>
          <w:p>
            <w:pPr>
              <w:jc w:val="center"/>
              <w:ind w:left="812"/>
              <w:spacing w:after="0"/>
              <w:rPr>
                <w:sz w:val="20"/>
                <w:szCs w:val="20"/>
                <w:color w:val="auto"/>
              </w:rPr>
            </w:pPr>
            <w:r>
              <w:rPr>
                <w:rFonts w:ascii="Times New Roman" w:cs="Times New Roman" w:eastAsia="Times New Roman" w:hAnsi="Times New Roman"/>
                <w:sz w:val="22"/>
                <w:szCs w:val="22"/>
                <w:b w:val="1"/>
                <w:bCs w:val="1"/>
                <w:color w:val="auto"/>
                <w:w w:val="98"/>
              </w:rPr>
              <w:t>Adjustments</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7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gridSpan w:val="2"/>
          </w:tcPr>
          <w:p>
            <w:pPr>
              <w:jc w:val="center"/>
              <w:ind w:right="360"/>
              <w:spacing w:after="0"/>
              <w:rPr>
                <w:sz w:val="20"/>
                <w:szCs w:val="20"/>
                <w:color w:val="auto"/>
              </w:rPr>
            </w:pPr>
            <w:r>
              <w:rPr>
                <w:rFonts w:ascii="Times New Roman" w:cs="Times New Roman" w:eastAsia="Times New Roman" w:hAnsi="Times New Roman"/>
                <w:sz w:val="22"/>
                <w:szCs w:val="22"/>
                <w:b w:val="1"/>
                <w:bCs w:val="1"/>
                <w:color w:val="auto"/>
                <w:w w:val="98"/>
              </w:rPr>
              <w:t>August 30, 2025</w:t>
            </w:r>
          </w:p>
        </w:tc>
        <w:tc>
          <w:tcPr>
            <w:tcW w:w="1800" w:type="dxa"/>
            <w:vAlign w:val="bottom"/>
            <w:gridSpan w:val="2"/>
          </w:tcPr>
          <w:p>
            <w:pPr>
              <w:ind w:left="20"/>
              <w:spacing w:after="0" w:line="317" w:lineRule="exact"/>
              <w:rPr>
                <w:sz w:val="20"/>
                <w:szCs w:val="20"/>
                <w:color w:val="auto"/>
              </w:rPr>
            </w:pPr>
            <w:r>
              <w:rPr>
                <w:rFonts w:ascii="Times New Roman" w:cs="Times New Roman" w:eastAsia="Times New Roman" w:hAnsi="Times New Roman"/>
                <w:sz w:val="22"/>
                <w:szCs w:val="22"/>
                <w:b w:val="1"/>
                <w:bCs w:val="1"/>
                <w:color w:val="auto"/>
                <w:w w:val="96"/>
              </w:rPr>
              <w:t xml:space="preserve">August 31, 2024 </w:t>
            </w:r>
            <w:r>
              <w:rPr>
                <w:rFonts w:ascii="Times New Roman" w:cs="Times New Roman" w:eastAsia="Times New Roman" w:hAnsi="Times New Roman"/>
                <w:sz w:val="35"/>
                <w:szCs w:val="35"/>
                <w:b w:val="1"/>
                <w:bCs w:val="1"/>
                <w:color w:val="auto"/>
                <w:w w:val="96"/>
                <w:vertAlign w:val="superscript"/>
              </w:rPr>
              <w:t>(1)</w:t>
            </w:r>
          </w:p>
        </w:tc>
        <w:tc>
          <w:tcPr>
            <w:tcW w:w="0" w:type="dxa"/>
            <w:vAlign w:val="bottom"/>
          </w:tcPr>
          <w:p>
            <w:pPr>
              <w:spacing w:after="0"/>
              <w:rPr>
                <w:sz w:val="1"/>
                <w:szCs w:val="1"/>
                <w:color w:val="auto"/>
              </w:rPr>
            </w:pPr>
          </w:p>
        </w:tc>
      </w:tr>
      <w:tr>
        <w:trPr>
          <w:trHeight w:val="52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Net sales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6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4"/>
                <w:szCs w:val="24"/>
                <w:color w:val="auto"/>
              </w:rPr>
            </w:pPr>
          </w:p>
        </w:tc>
        <w:tc>
          <w:tcPr>
            <w:tcW w:w="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365,879</w:t>
            </w:r>
          </w:p>
        </w:tc>
        <w:tc>
          <w:tcPr>
            <w:tcW w:w="0" w:type="dxa"/>
            <w:vAlign w:val="bottom"/>
          </w:tcPr>
          <w:p>
            <w:pPr>
              <w:spacing w:after="0"/>
              <w:rPr>
                <w:sz w:val="1"/>
                <w:szCs w:val="1"/>
                <w:color w:val="auto"/>
              </w:rPr>
            </w:pPr>
          </w:p>
        </w:tc>
      </w:tr>
      <w:tr>
        <w:trPr>
          <w:trHeight w:val="282"/>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Cost of sales</w:t>
            </w: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176,855</w:t>
            </w:r>
          </w:p>
        </w:tc>
        <w:tc>
          <w:tcPr>
            <w:tcW w:w="0" w:type="dxa"/>
            <w:vAlign w:val="bottom"/>
          </w:tcPr>
          <w:p>
            <w:pPr>
              <w:spacing w:after="0"/>
              <w:rPr>
                <w:sz w:val="1"/>
                <w:szCs w:val="1"/>
                <w:color w:val="auto"/>
              </w:rPr>
            </w:pPr>
          </w:p>
        </w:tc>
      </w:tr>
      <w:tr>
        <w:trPr>
          <w:trHeight w:val="251"/>
        </w:trPr>
        <w:tc>
          <w:tcPr>
            <w:tcW w:w="730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Gross profit</w:t>
            </w:r>
          </w:p>
        </w:tc>
        <w:tc>
          <w:tcPr>
            <w:tcW w:w="140" w:type="dxa"/>
            <w:vAlign w:val="bottom"/>
          </w:tcPr>
          <w:p>
            <w:pPr>
              <w:spacing w:after="0"/>
              <w:rPr>
                <w:sz w:val="21"/>
                <w:szCs w:val="21"/>
                <w:color w:val="auto"/>
              </w:rPr>
            </w:pPr>
          </w:p>
        </w:tc>
        <w:tc>
          <w:tcPr>
            <w:tcW w:w="166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6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189,024</w:t>
            </w:r>
          </w:p>
        </w:tc>
        <w:tc>
          <w:tcPr>
            <w:tcW w:w="0" w:type="dxa"/>
            <w:vAlign w:val="bottom"/>
          </w:tcPr>
          <w:p>
            <w:pPr>
              <w:spacing w:after="0"/>
              <w:rPr>
                <w:sz w:val="1"/>
                <w:szCs w:val="1"/>
                <w:color w:val="auto"/>
              </w:rPr>
            </w:pPr>
          </w:p>
        </w:tc>
      </w:tr>
      <w:tr>
        <w:trPr>
          <w:trHeight w:val="282"/>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Operating, SG&amp;A expenses</w:t>
            </w: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102,278</w:t>
            </w:r>
          </w:p>
        </w:tc>
        <w:tc>
          <w:tcPr>
            <w:tcW w:w="0" w:type="dxa"/>
            <w:vAlign w:val="bottom"/>
          </w:tcPr>
          <w:p>
            <w:pPr>
              <w:spacing w:after="0"/>
              <w:rPr>
                <w:sz w:val="1"/>
                <w:szCs w:val="1"/>
                <w:color w:val="auto"/>
              </w:rPr>
            </w:pPr>
          </w:p>
        </w:tc>
      </w:tr>
      <w:tr>
        <w:trPr>
          <w:trHeight w:val="251"/>
        </w:trPr>
        <w:tc>
          <w:tcPr>
            <w:tcW w:w="730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Operating profit (EBIT)</w:t>
            </w:r>
          </w:p>
        </w:tc>
        <w:tc>
          <w:tcPr>
            <w:tcW w:w="140" w:type="dxa"/>
            <w:vAlign w:val="bottom"/>
          </w:tcPr>
          <w:p>
            <w:pPr>
              <w:spacing w:after="0"/>
              <w:rPr>
                <w:sz w:val="21"/>
                <w:szCs w:val="21"/>
                <w:color w:val="auto"/>
              </w:rPr>
            </w:pPr>
          </w:p>
        </w:tc>
        <w:tc>
          <w:tcPr>
            <w:tcW w:w="166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6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86,746</w:t>
            </w:r>
          </w:p>
        </w:tc>
        <w:tc>
          <w:tcPr>
            <w:tcW w:w="0" w:type="dxa"/>
            <w:vAlign w:val="bottom"/>
          </w:tcPr>
          <w:p>
            <w:pPr>
              <w:spacing w:after="0"/>
              <w:rPr>
                <w:sz w:val="1"/>
                <w:szCs w:val="1"/>
                <w:color w:val="auto"/>
              </w:rPr>
            </w:pPr>
          </w:p>
        </w:tc>
      </w:tr>
      <w:tr>
        <w:trPr>
          <w:trHeight w:val="282"/>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Interest expense, net</w:t>
            </w: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9,009</w:t>
            </w:r>
          </w:p>
        </w:tc>
        <w:tc>
          <w:tcPr>
            <w:tcW w:w="0" w:type="dxa"/>
            <w:vAlign w:val="bottom"/>
          </w:tcPr>
          <w:p>
            <w:pPr>
              <w:spacing w:after="0"/>
              <w:rPr>
                <w:sz w:val="1"/>
                <w:szCs w:val="1"/>
                <w:color w:val="auto"/>
              </w:rPr>
            </w:pPr>
          </w:p>
        </w:tc>
      </w:tr>
      <w:tr>
        <w:trPr>
          <w:trHeight w:val="251"/>
        </w:trPr>
        <w:tc>
          <w:tcPr>
            <w:tcW w:w="730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Income before taxes</w:t>
            </w:r>
          </w:p>
        </w:tc>
        <w:tc>
          <w:tcPr>
            <w:tcW w:w="140" w:type="dxa"/>
            <w:vAlign w:val="bottom"/>
          </w:tcPr>
          <w:p>
            <w:pPr>
              <w:spacing w:after="0"/>
              <w:rPr>
                <w:sz w:val="21"/>
                <w:szCs w:val="21"/>
                <w:color w:val="auto"/>
              </w:rPr>
            </w:pPr>
          </w:p>
        </w:tc>
        <w:tc>
          <w:tcPr>
            <w:tcW w:w="166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6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77,737</w:t>
            </w:r>
          </w:p>
        </w:tc>
        <w:tc>
          <w:tcPr>
            <w:tcW w:w="0" w:type="dxa"/>
            <w:vAlign w:val="bottom"/>
          </w:tcPr>
          <w:p>
            <w:pPr>
              <w:spacing w:after="0"/>
              <w:rPr>
                <w:sz w:val="1"/>
                <w:szCs w:val="1"/>
                <w:color w:val="auto"/>
              </w:rPr>
            </w:pPr>
          </w:p>
        </w:tc>
      </w:tr>
      <w:tr>
        <w:trPr>
          <w:trHeight w:val="283"/>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Income tax expense</w:t>
            </w: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17,024</w:t>
            </w:r>
          </w:p>
        </w:tc>
        <w:tc>
          <w:tcPr>
            <w:tcW w:w="0" w:type="dxa"/>
            <w:vAlign w:val="bottom"/>
          </w:tcPr>
          <w:p>
            <w:pPr>
              <w:spacing w:after="0"/>
              <w:rPr>
                <w:sz w:val="1"/>
                <w:szCs w:val="1"/>
                <w:color w:val="auto"/>
              </w:rPr>
            </w:pPr>
          </w:p>
        </w:tc>
      </w:tr>
      <w:tr>
        <w:trPr>
          <w:trHeight w:val="264"/>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Net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6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2"/>
                <w:szCs w:val="22"/>
                <w:color w:val="auto"/>
              </w:rPr>
            </w:pPr>
          </w:p>
        </w:tc>
        <w:tc>
          <w:tcPr>
            <w:tcW w:w="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60,713</w:t>
            </w:r>
          </w:p>
        </w:tc>
        <w:tc>
          <w:tcPr>
            <w:tcW w:w="0" w:type="dxa"/>
            <w:vAlign w:val="bottom"/>
          </w:tcPr>
          <w:p>
            <w:pPr>
              <w:spacing w:after="0"/>
              <w:rPr>
                <w:sz w:val="1"/>
                <w:szCs w:val="1"/>
                <w:color w:val="auto"/>
              </w:rPr>
            </w:pPr>
          </w:p>
        </w:tc>
      </w:tr>
      <w:tr>
        <w:trPr>
          <w:trHeight w:val="21"/>
        </w:trPr>
        <w:tc>
          <w:tcPr>
            <w:tcW w:w="73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Earnings per share:</w:t>
            </w: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730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Basic</w:t>
            </w: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6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3"/>
                <w:szCs w:val="23"/>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3.57</w:t>
            </w:r>
          </w:p>
        </w:tc>
        <w:tc>
          <w:tcPr>
            <w:tcW w:w="0" w:type="dxa"/>
            <w:vAlign w:val="bottom"/>
          </w:tcPr>
          <w:p>
            <w:pPr>
              <w:spacing w:after="0"/>
              <w:rPr>
                <w:sz w:val="1"/>
                <w:szCs w:val="1"/>
                <w:color w:val="auto"/>
              </w:rPr>
            </w:pPr>
          </w:p>
        </w:tc>
      </w:tr>
      <w:tr>
        <w:trPr>
          <w:trHeight w:val="270"/>
        </w:trPr>
        <w:tc>
          <w:tcPr>
            <w:tcW w:w="7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6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3"/>
                <w:szCs w:val="23"/>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3.47</w:t>
            </w: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Weighted average shares outstanding:</w:t>
            </w:r>
          </w:p>
        </w:tc>
        <w:tc>
          <w:tcPr>
            <w:tcW w:w="1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Basic</w:t>
            </w:r>
          </w:p>
        </w:tc>
        <w:tc>
          <w:tcPr>
            <w:tcW w:w="140" w:type="dxa"/>
            <w:vAlign w:val="bottom"/>
          </w:tcPr>
          <w:p>
            <w:pPr>
              <w:spacing w:after="0"/>
              <w:rPr>
                <w:sz w:val="23"/>
                <w:szCs w:val="23"/>
                <w:color w:val="auto"/>
              </w:rPr>
            </w:pPr>
          </w:p>
        </w:tc>
        <w:tc>
          <w:tcPr>
            <w:tcW w:w="16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82"/>
        </w:trPr>
        <w:tc>
          <w:tcPr>
            <w:tcW w:w="7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Diluted</w:t>
            </w:r>
          </w:p>
        </w:tc>
        <w:tc>
          <w:tcPr>
            <w:tcW w:w="140" w:type="dxa"/>
            <w:vAlign w:val="bottom"/>
          </w:tcPr>
          <w:p>
            <w:pPr>
              <w:spacing w:after="0"/>
              <w:rPr>
                <w:sz w:val="24"/>
                <w:szCs w:val="24"/>
                <w:color w:val="auto"/>
              </w:rPr>
            </w:pPr>
          </w:p>
        </w:tc>
        <w:tc>
          <w:tcPr>
            <w:tcW w:w="16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541"/>
        </w:trPr>
        <w:tc>
          <w:tcPr>
            <w:tcW w:w="7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3"/>
          </w:tcPr>
          <w:p>
            <w:pPr>
              <w:jc w:val="center"/>
              <w:ind w:left="812"/>
              <w:spacing w:after="0"/>
              <w:rPr>
                <w:sz w:val="20"/>
                <w:szCs w:val="20"/>
                <w:color w:val="auto"/>
              </w:rPr>
            </w:pPr>
            <w:r>
              <w:rPr>
                <w:rFonts w:ascii="Times New Roman" w:cs="Times New Roman" w:eastAsia="Times New Roman" w:hAnsi="Times New Roman"/>
                <w:sz w:val="22"/>
                <w:szCs w:val="22"/>
                <w:b w:val="1"/>
                <w:bCs w:val="1"/>
                <w:color w:val="auto"/>
                <w:w w:val="99"/>
              </w:rPr>
              <w:t>Adjusted Results</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7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80" w:type="dxa"/>
            <w:vAlign w:val="bottom"/>
            <w:gridSpan w:val="2"/>
          </w:tcPr>
          <w:p>
            <w:pPr>
              <w:jc w:val="center"/>
              <w:ind w:right="360"/>
              <w:spacing w:after="0"/>
              <w:rPr>
                <w:sz w:val="20"/>
                <w:szCs w:val="20"/>
                <w:color w:val="auto"/>
              </w:rPr>
            </w:pPr>
            <w:r>
              <w:rPr>
                <w:rFonts w:ascii="Times New Roman" w:cs="Times New Roman" w:eastAsia="Times New Roman" w:hAnsi="Times New Roman"/>
                <w:sz w:val="22"/>
                <w:szCs w:val="22"/>
                <w:b w:val="1"/>
                <w:bCs w:val="1"/>
                <w:color w:val="auto"/>
                <w:w w:val="97"/>
              </w:rPr>
              <w:t>16 Weeks Ended</w:t>
            </w:r>
          </w:p>
        </w:tc>
        <w:tc>
          <w:tcPr>
            <w:tcW w:w="1800" w:type="dxa"/>
            <w:vAlign w:val="bottom"/>
            <w:gridSpan w:val="2"/>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16 Weeks Ended</w:t>
            </w:r>
          </w:p>
        </w:tc>
        <w:tc>
          <w:tcPr>
            <w:tcW w:w="0" w:type="dxa"/>
            <w:vAlign w:val="bottom"/>
          </w:tcPr>
          <w:p>
            <w:pPr>
              <w:spacing w:after="0"/>
              <w:rPr>
                <w:sz w:val="1"/>
                <w:szCs w:val="1"/>
                <w:color w:val="auto"/>
              </w:rPr>
            </w:pPr>
          </w:p>
        </w:tc>
      </w:tr>
      <w:tr>
        <w:trPr>
          <w:trHeight w:val="333"/>
        </w:trPr>
        <w:tc>
          <w:tcPr>
            <w:tcW w:w="7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gridSpan w:val="2"/>
          </w:tcPr>
          <w:p>
            <w:pPr>
              <w:jc w:val="center"/>
              <w:ind w:right="360"/>
              <w:spacing w:after="0"/>
              <w:rPr>
                <w:sz w:val="20"/>
                <w:szCs w:val="20"/>
                <w:color w:val="auto"/>
              </w:rPr>
            </w:pPr>
            <w:r>
              <w:rPr>
                <w:rFonts w:ascii="Times New Roman" w:cs="Times New Roman" w:eastAsia="Times New Roman" w:hAnsi="Times New Roman"/>
                <w:sz w:val="22"/>
                <w:szCs w:val="22"/>
                <w:b w:val="1"/>
                <w:bCs w:val="1"/>
                <w:color w:val="auto"/>
                <w:w w:val="98"/>
              </w:rPr>
              <w:t>August 30, 2025</w:t>
            </w:r>
          </w:p>
        </w:tc>
        <w:tc>
          <w:tcPr>
            <w:tcW w:w="1800" w:type="dxa"/>
            <w:vAlign w:val="bottom"/>
            <w:gridSpan w:val="2"/>
          </w:tcPr>
          <w:p>
            <w:pPr>
              <w:ind w:left="20"/>
              <w:spacing w:after="0" w:line="333" w:lineRule="exact"/>
              <w:rPr>
                <w:sz w:val="20"/>
                <w:szCs w:val="20"/>
                <w:color w:val="auto"/>
              </w:rPr>
            </w:pPr>
            <w:r>
              <w:rPr>
                <w:rFonts w:ascii="Times New Roman" w:cs="Times New Roman" w:eastAsia="Times New Roman" w:hAnsi="Times New Roman"/>
                <w:sz w:val="22"/>
                <w:szCs w:val="22"/>
                <w:b w:val="1"/>
                <w:bCs w:val="1"/>
                <w:color w:val="auto"/>
                <w:w w:val="96"/>
              </w:rPr>
              <w:t xml:space="preserve">August 31, 2024 </w:t>
            </w:r>
            <w:r>
              <w:rPr>
                <w:rFonts w:ascii="Times New Roman" w:cs="Times New Roman" w:eastAsia="Times New Roman" w:hAnsi="Times New Roman"/>
                <w:sz w:val="35"/>
                <w:szCs w:val="35"/>
                <w:b w:val="1"/>
                <w:bCs w:val="1"/>
                <w:color w:val="auto"/>
                <w:w w:val="96"/>
                <w:vertAlign w:val="superscript"/>
              </w:rPr>
              <w:t>(1)</w:t>
            </w:r>
          </w:p>
        </w:tc>
        <w:tc>
          <w:tcPr>
            <w:tcW w:w="0" w:type="dxa"/>
            <w:vAlign w:val="bottom"/>
          </w:tcPr>
          <w:p>
            <w:pPr>
              <w:spacing w:after="0"/>
              <w:rPr>
                <w:sz w:val="1"/>
                <w:szCs w:val="1"/>
                <w:color w:val="auto"/>
              </w:rPr>
            </w:pPr>
          </w:p>
        </w:tc>
      </w:tr>
      <w:tr>
        <w:trPr>
          <w:trHeight w:val="52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Net sales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6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6,242,726</w:t>
            </w:r>
          </w:p>
        </w:tc>
        <w:tc>
          <w:tcPr>
            <w:tcW w:w="220" w:type="dxa"/>
            <w:vAlign w:val="bottom"/>
          </w:tcPr>
          <w:p>
            <w:pPr>
              <w:spacing w:after="0"/>
              <w:rPr>
                <w:sz w:val="24"/>
                <w:szCs w:val="24"/>
                <w:color w:val="auto"/>
              </w:rPr>
            </w:pPr>
          </w:p>
        </w:tc>
        <w:tc>
          <w:tcPr>
            <w:tcW w:w="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5,839,501</w:t>
            </w:r>
          </w:p>
        </w:tc>
        <w:tc>
          <w:tcPr>
            <w:tcW w:w="0" w:type="dxa"/>
            <w:vAlign w:val="bottom"/>
          </w:tcPr>
          <w:p>
            <w:pPr>
              <w:spacing w:after="0"/>
              <w:rPr>
                <w:sz w:val="1"/>
                <w:szCs w:val="1"/>
                <w:color w:val="auto"/>
              </w:rPr>
            </w:pPr>
          </w:p>
        </w:tc>
      </w:tr>
      <w:tr>
        <w:trPr>
          <w:trHeight w:val="282"/>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Cost of sales</w:t>
            </w: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3,026,233</w:t>
            </w:r>
          </w:p>
        </w:tc>
        <w:tc>
          <w:tcPr>
            <w:tcW w:w="2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2,770,662</w:t>
            </w:r>
          </w:p>
        </w:tc>
        <w:tc>
          <w:tcPr>
            <w:tcW w:w="0" w:type="dxa"/>
            <w:vAlign w:val="bottom"/>
          </w:tcPr>
          <w:p>
            <w:pPr>
              <w:spacing w:after="0"/>
              <w:rPr>
                <w:sz w:val="1"/>
                <w:szCs w:val="1"/>
                <w:color w:val="auto"/>
              </w:rPr>
            </w:pPr>
          </w:p>
        </w:tc>
      </w:tr>
      <w:tr>
        <w:trPr>
          <w:trHeight w:val="251"/>
        </w:trPr>
        <w:tc>
          <w:tcPr>
            <w:tcW w:w="730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Gross profit</w:t>
            </w:r>
          </w:p>
        </w:tc>
        <w:tc>
          <w:tcPr>
            <w:tcW w:w="140" w:type="dxa"/>
            <w:vAlign w:val="bottom"/>
          </w:tcPr>
          <w:p>
            <w:pPr>
              <w:spacing w:after="0"/>
              <w:rPr>
                <w:sz w:val="21"/>
                <w:szCs w:val="21"/>
                <w:color w:val="auto"/>
              </w:rPr>
            </w:pPr>
          </w:p>
        </w:tc>
        <w:tc>
          <w:tcPr>
            <w:tcW w:w="166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3,216,493</w:t>
            </w: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6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3,068,839</w:t>
            </w:r>
          </w:p>
        </w:tc>
        <w:tc>
          <w:tcPr>
            <w:tcW w:w="0" w:type="dxa"/>
            <w:vAlign w:val="bottom"/>
          </w:tcPr>
          <w:p>
            <w:pPr>
              <w:spacing w:after="0"/>
              <w:rPr>
                <w:sz w:val="1"/>
                <w:szCs w:val="1"/>
                <w:color w:val="auto"/>
              </w:rPr>
            </w:pPr>
          </w:p>
        </w:tc>
      </w:tr>
      <w:tr>
        <w:trPr>
          <w:trHeight w:val="282"/>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Operating, SG&amp;A expenses</w:t>
            </w: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2,020,428</w:t>
            </w:r>
          </w:p>
        </w:tc>
        <w:tc>
          <w:tcPr>
            <w:tcW w:w="2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1,858,905</w:t>
            </w:r>
          </w:p>
        </w:tc>
        <w:tc>
          <w:tcPr>
            <w:tcW w:w="0" w:type="dxa"/>
            <w:vAlign w:val="bottom"/>
          </w:tcPr>
          <w:p>
            <w:pPr>
              <w:spacing w:after="0"/>
              <w:rPr>
                <w:sz w:val="1"/>
                <w:szCs w:val="1"/>
                <w:color w:val="auto"/>
              </w:rPr>
            </w:pPr>
          </w:p>
        </w:tc>
      </w:tr>
      <w:tr>
        <w:trPr>
          <w:trHeight w:val="251"/>
        </w:trPr>
        <w:tc>
          <w:tcPr>
            <w:tcW w:w="730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Operating profit (EBIT)</w:t>
            </w:r>
          </w:p>
        </w:tc>
        <w:tc>
          <w:tcPr>
            <w:tcW w:w="140" w:type="dxa"/>
            <w:vAlign w:val="bottom"/>
          </w:tcPr>
          <w:p>
            <w:pPr>
              <w:spacing w:after="0"/>
              <w:rPr>
                <w:sz w:val="21"/>
                <w:szCs w:val="21"/>
                <w:color w:val="auto"/>
              </w:rPr>
            </w:pPr>
          </w:p>
        </w:tc>
        <w:tc>
          <w:tcPr>
            <w:tcW w:w="166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1,196,065</w:t>
            </w: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6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1,209,934</w:t>
            </w:r>
          </w:p>
        </w:tc>
        <w:tc>
          <w:tcPr>
            <w:tcW w:w="0" w:type="dxa"/>
            <w:vAlign w:val="bottom"/>
          </w:tcPr>
          <w:p>
            <w:pPr>
              <w:spacing w:after="0"/>
              <w:rPr>
                <w:sz w:val="1"/>
                <w:szCs w:val="1"/>
                <w:color w:val="auto"/>
              </w:rPr>
            </w:pPr>
          </w:p>
        </w:tc>
      </w:tr>
      <w:tr>
        <w:trPr>
          <w:trHeight w:val="282"/>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Interest expense, net</w:t>
            </w: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148,087</w:t>
            </w:r>
          </w:p>
        </w:tc>
        <w:tc>
          <w:tcPr>
            <w:tcW w:w="2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144,142</w:t>
            </w:r>
          </w:p>
        </w:tc>
        <w:tc>
          <w:tcPr>
            <w:tcW w:w="0" w:type="dxa"/>
            <w:vAlign w:val="bottom"/>
          </w:tcPr>
          <w:p>
            <w:pPr>
              <w:spacing w:after="0"/>
              <w:rPr>
                <w:sz w:val="1"/>
                <w:szCs w:val="1"/>
                <w:color w:val="auto"/>
              </w:rPr>
            </w:pPr>
          </w:p>
        </w:tc>
      </w:tr>
      <w:tr>
        <w:trPr>
          <w:trHeight w:val="251"/>
        </w:trPr>
        <w:tc>
          <w:tcPr>
            <w:tcW w:w="730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Income before taxes</w:t>
            </w:r>
          </w:p>
        </w:tc>
        <w:tc>
          <w:tcPr>
            <w:tcW w:w="140" w:type="dxa"/>
            <w:vAlign w:val="bottom"/>
          </w:tcPr>
          <w:p>
            <w:pPr>
              <w:spacing w:after="0"/>
              <w:rPr>
                <w:sz w:val="21"/>
                <w:szCs w:val="21"/>
                <w:color w:val="auto"/>
              </w:rPr>
            </w:pPr>
          </w:p>
        </w:tc>
        <w:tc>
          <w:tcPr>
            <w:tcW w:w="166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1,047,978</w:t>
            </w: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6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1,065,792</w:t>
            </w:r>
          </w:p>
        </w:tc>
        <w:tc>
          <w:tcPr>
            <w:tcW w:w="0" w:type="dxa"/>
            <w:vAlign w:val="bottom"/>
          </w:tcPr>
          <w:p>
            <w:pPr>
              <w:spacing w:after="0"/>
              <w:rPr>
                <w:sz w:val="1"/>
                <w:szCs w:val="1"/>
                <w:color w:val="auto"/>
              </w:rPr>
            </w:pPr>
          </w:p>
        </w:tc>
      </w:tr>
      <w:tr>
        <w:trPr>
          <w:trHeight w:val="283"/>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Income tax expense</w:t>
            </w: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211,027</w:t>
            </w:r>
          </w:p>
        </w:tc>
        <w:tc>
          <w:tcPr>
            <w:tcW w:w="2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224,297</w:t>
            </w:r>
          </w:p>
        </w:tc>
        <w:tc>
          <w:tcPr>
            <w:tcW w:w="0" w:type="dxa"/>
            <w:vAlign w:val="bottom"/>
          </w:tcPr>
          <w:p>
            <w:pPr>
              <w:spacing w:after="0"/>
              <w:rPr>
                <w:sz w:val="1"/>
                <w:szCs w:val="1"/>
                <w:color w:val="auto"/>
              </w:rPr>
            </w:pPr>
          </w:p>
        </w:tc>
      </w:tr>
      <w:tr>
        <w:trPr>
          <w:trHeight w:val="264"/>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Net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6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836,951</w:t>
            </w:r>
          </w:p>
        </w:tc>
        <w:tc>
          <w:tcPr>
            <w:tcW w:w="220" w:type="dxa"/>
            <w:vAlign w:val="bottom"/>
          </w:tcPr>
          <w:p>
            <w:pPr>
              <w:spacing w:after="0"/>
              <w:rPr>
                <w:sz w:val="22"/>
                <w:szCs w:val="22"/>
                <w:color w:val="auto"/>
              </w:rPr>
            </w:pPr>
          </w:p>
        </w:tc>
        <w:tc>
          <w:tcPr>
            <w:tcW w:w="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841,495</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Earnings per share:</w:t>
            </w: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730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Basic</w:t>
            </w: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6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50.02</w:t>
            </w:r>
          </w:p>
        </w:tc>
        <w:tc>
          <w:tcPr>
            <w:tcW w:w="220" w:type="dxa"/>
            <w:vAlign w:val="bottom"/>
          </w:tcPr>
          <w:p>
            <w:pPr>
              <w:spacing w:after="0"/>
              <w:rPr>
                <w:sz w:val="23"/>
                <w:szCs w:val="23"/>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49.41</w:t>
            </w:r>
          </w:p>
        </w:tc>
        <w:tc>
          <w:tcPr>
            <w:tcW w:w="0" w:type="dxa"/>
            <w:vAlign w:val="bottom"/>
          </w:tcPr>
          <w:p>
            <w:pPr>
              <w:spacing w:after="0"/>
              <w:rPr>
                <w:sz w:val="1"/>
                <w:szCs w:val="1"/>
                <w:color w:val="auto"/>
              </w:rPr>
            </w:pPr>
          </w:p>
        </w:tc>
      </w:tr>
      <w:tr>
        <w:trPr>
          <w:trHeight w:val="270"/>
        </w:trPr>
        <w:tc>
          <w:tcPr>
            <w:tcW w:w="7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6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48.71</w:t>
            </w:r>
          </w:p>
        </w:tc>
        <w:tc>
          <w:tcPr>
            <w:tcW w:w="220" w:type="dxa"/>
            <w:vAlign w:val="bottom"/>
          </w:tcPr>
          <w:p>
            <w:pPr>
              <w:spacing w:after="0"/>
              <w:rPr>
                <w:sz w:val="23"/>
                <w:szCs w:val="23"/>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48.11</w:t>
            </w: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Weighted average shares outstanding:</w:t>
            </w:r>
          </w:p>
        </w:tc>
        <w:tc>
          <w:tcPr>
            <w:tcW w:w="1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Basic</w:t>
            </w:r>
          </w:p>
        </w:tc>
        <w:tc>
          <w:tcPr>
            <w:tcW w:w="140" w:type="dxa"/>
            <w:vAlign w:val="bottom"/>
          </w:tcPr>
          <w:p>
            <w:pPr>
              <w:spacing w:after="0"/>
              <w:rPr>
                <w:sz w:val="23"/>
                <w:szCs w:val="23"/>
                <w:color w:val="auto"/>
              </w:rPr>
            </w:pPr>
          </w:p>
        </w:tc>
        <w:tc>
          <w:tcPr>
            <w:tcW w:w="16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16,731</w:t>
            </w: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17,030</w:t>
            </w:r>
          </w:p>
        </w:tc>
        <w:tc>
          <w:tcPr>
            <w:tcW w:w="0" w:type="dxa"/>
            <w:vAlign w:val="bottom"/>
          </w:tcPr>
          <w:p>
            <w:pPr>
              <w:spacing w:after="0"/>
              <w:rPr>
                <w:sz w:val="1"/>
                <w:szCs w:val="1"/>
                <w:color w:val="auto"/>
              </w:rPr>
            </w:pPr>
          </w:p>
        </w:tc>
      </w:tr>
      <w:tr>
        <w:trPr>
          <w:trHeight w:val="282"/>
        </w:trPr>
        <w:tc>
          <w:tcPr>
            <w:tcW w:w="7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Diluted</w:t>
            </w:r>
          </w:p>
        </w:tc>
        <w:tc>
          <w:tcPr>
            <w:tcW w:w="140" w:type="dxa"/>
            <w:vAlign w:val="bottom"/>
          </w:tcPr>
          <w:p>
            <w:pPr>
              <w:spacing w:after="0"/>
              <w:rPr>
                <w:sz w:val="24"/>
                <w:szCs w:val="24"/>
                <w:color w:val="auto"/>
              </w:rPr>
            </w:pPr>
          </w:p>
        </w:tc>
        <w:tc>
          <w:tcPr>
            <w:tcW w:w="16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17,181</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17,491</w:t>
            </w: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35"/>
          <w:szCs w:val="35"/>
          <w:i w:val="1"/>
          <w:iCs w:val="1"/>
          <w:color w:val="auto"/>
          <w:vertAlign w:val="superscript"/>
        </w:rPr>
        <w:t>(1)</w:t>
      </w:r>
      <w:r>
        <w:rPr>
          <w:rFonts w:ascii="Times New Roman" w:cs="Times New Roman" w:eastAsia="Times New Roman" w:hAnsi="Times New Roman"/>
          <w:sz w:val="22"/>
          <w:szCs w:val="22"/>
          <w:i w:val="1"/>
          <w:iCs w:val="1"/>
          <w:color w:val="auto"/>
        </w:rPr>
        <w:t>The Company adjusted Q4 Fiscal 2024 to exclude the impact of the 17</w:t>
      </w:r>
      <w:r>
        <w:rPr>
          <w:rFonts w:ascii="Times New Roman" w:cs="Times New Roman" w:eastAsia="Times New Roman" w:hAnsi="Times New Roman"/>
          <w:sz w:val="35"/>
          <w:szCs w:val="35"/>
          <w:i w:val="1"/>
          <w:iCs w:val="1"/>
          <w:color w:val="auto"/>
          <w:vertAlign w:val="superscript"/>
        </w:rPr>
        <w:t>th</w:t>
      </w:r>
      <w:r>
        <w:rPr>
          <w:rFonts w:ascii="Times New Roman" w:cs="Times New Roman" w:eastAsia="Times New Roman" w:hAnsi="Times New Roman"/>
          <w:sz w:val="22"/>
          <w:szCs w:val="22"/>
          <w:i w:val="1"/>
          <w:iCs w:val="1"/>
          <w:color w:val="auto"/>
        </w:rPr>
        <w:t xml:space="preserve"> week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74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AutoZone's 4th Quarter Highlights - Fiscal 2025</w:t>
            </w: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4"/>
        </w:trPr>
        <w:tc>
          <w:tcPr>
            <w:tcW w:w="74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Operations</w:t>
            </w: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74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Fiscal Year 2025</w:t>
            </w:r>
          </w:p>
        </w:tc>
        <w:tc>
          <w:tcPr>
            <w:tcW w:w="120" w:type="dxa"/>
            <w:vAlign w:val="bottom"/>
          </w:tcPr>
          <w:p>
            <w:pPr>
              <w:spacing w:after="0"/>
              <w:rPr>
                <w:sz w:val="23"/>
                <w:szCs w:val="23"/>
                <w:color w:val="auto"/>
              </w:rPr>
            </w:pPr>
          </w:p>
        </w:tc>
        <w:tc>
          <w:tcPr>
            <w:tcW w:w="3680" w:type="dxa"/>
            <w:vAlign w:val="bottom"/>
            <w:gridSpan w:val="4"/>
            <w:vMerge w:val="restart"/>
          </w:tcPr>
          <w:p>
            <w:pPr>
              <w:jc w:val="right"/>
              <w:ind w:right="1132"/>
              <w:spacing w:after="0"/>
              <w:rPr>
                <w:sz w:val="20"/>
                <w:szCs w:val="20"/>
                <w:color w:val="auto"/>
              </w:rPr>
            </w:pPr>
            <w:r>
              <w:rPr>
                <w:rFonts w:ascii="Times New Roman" w:cs="Times New Roman" w:eastAsia="Times New Roman" w:hAnsi="Times New Roman"/>
                <w:sz w:val="22"/>
                <w:szCs w:val="22"/>
                <w:b w:val="1"/>
                <w:bCs w:val="1"/>
                <w:color w:val="auto"/>
              </w:rPr>
              <w:t>GAAP Results</w:t>
            </w:r>
          </w:p>
        </w:tc>
        <w:tc>
          <w:tcPr>
            <w:tcW w:w="0" w:type="dxa"/>
            <w:vAlign w:val="bottom"/>
          </w:tcPr>
          <w:p>
            <w:pPr>
              <w:spacing w:after="0"/>
              <w:rPr>
                <w:sz w:val="1"/>
                <w:szCs w:val="1"/>
                <w:color w:val="auto"/>
              </w:rPr>
            </w:pPr>
          </w:p>
        </w:tc>
      </w:tr>
      <w:tr>
        <w:trPr>
          <w:trHeight w:val="283"/>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(in thousands, except per share data)</w:t>
            </w:r>
          </w:p>
        </w:tc>
        <w:tc>
          <w:tcPr>
            <w:tcW w:w="1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7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80" w:type="dxa"/>
            <w:vAlign w:val="bottom"/>
            <w:gridSpan w:val="2"/>
          </w:tcPr>
          <w:p>
            <w:pPr>
              <w:spacing w:after="0" w:line="246" w:lineRule="exact"/>
              <w:rPr>
                <w:sz w:val="20"/>
                <w:szCs w:val="20"/>
                <w:color w:val="auto"/>
              </w:rPr>
            </w:pPr>
            <w:r>
              <w:rPr>
                <w:rFonts w:ascii="Times New Roman" w:cs="Times New Roman" w:eastAsia="Times New Roman" w:hAnsi="Times New Roman"/>
                <w:sz w:val="22"/>
                <w:szCs w:val="22"/>
                <w:b w:val="1"/>
                <w:bCs w:val="1"/>
                <w:color w:val="auto"/>
              </w:rPr>
              <w:t>52 Weeks Ended</w:t>
            </w:r>
          </w:p>
        </w:tc>
        <w:tc>
          <w:tcPr>
            <w:tcW w:w="140" w:type="dxa"/>
            <w:vAlign w:val="bottom"/>
          </w:tcPr>
          <w:p>
            <w:pPr>
              <w:spacing w:after="0"/>
              <w:rPr>
                <w:sz w:val="21"/>
                <w:szCs w:val="21"/>
                <w:color w:val="auto"/>
              </w:rPr>
            </w:pPr>
          </w:p>
        </w:tc>
        <w:tc>
          <w:tcPr>
            <w:tcW w:w="1660" w:type="dxa"/>
            <w:vAlign w:val="bottom"/>
          </w:tcPr>
          <w:p>
            <w:pPr>
              <w:jc w:val="right"/>
              <w:ind w:right="32"/>
              <w:spacing w:after="0" w:line="246" w:lineRule="exact"/>
              <w:rPr>
                <w:sz w:val="20"/>
                <w:szCs w:val="20"/>
                <w:color w:val="auto"/>
              </w:rPr>
            </w:pPr>
            <w:r>
              <w:rPr>
                <w:rFonts w:ascii="Times New Roman" w:cs="Times New Roman" w:eastAsia="Times New Roman" w:hAnsi="Times New Roman"/>
                <w:sz w:val="22"/>
                <w:szCs w:val="22"/>
                <w:b w:val="1"/>
                <w:bCs w:val="1"/>
                <w:color w:val="auto"/>
                <w:w w:val="95"/>
              </w:rPr>
              <w:t>53 Weeks Ended</w:t>
            </w:r>
          </w:p>
        </w:tc>
        <w:tc>
          <w:tcPr>
            <w:tcW w:w="0" w:type="dxa"/>
            <w:vAlign w:val="bottom"/>
          </w:tcPr>
          <w:p>
            <w:pPr>
              <w:spacing w:after="0"/>
              <w:rPr>
                <w:sz w:val="1"/>
                <w:szCs w:val="1"/>
                <w:color w:val="auto"/>
              </w:rPr>
            </w:pPr>
          </w:p>
        </w:tc>
      </w:tr>
      <w:tr>
        <w:trPr>
          <w:trHeight w:val="287"/>
        </w:trPr>
        <w:tc>
          <w:tcPr>
            <w:tcW w:w="7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rPr>
              <w:t>August 30, 2025</w:t>
            </w:r>
          </w:p>
        </w:tc>
        <w:tc>
          <w:tcPr>
            <w:tcW w:w="140" w:type="dxa"/>
            <w:vAlign w:val="bottom"/>
          </w:tcPr>
          <w:p>
            <w:pPr>
              <w:spacing w:after="0"/>
              <w:rPr>
                <w:sz w:val="24"/>
                <w:szCs w:val="24"/>
                <w:color w:val="auto"/>
              </w:rPr>
            </w:pPr>
          </w:p>
        </w:tc>
        <w:tc>
          <w:tcPr>
            <w:tcW w:w="1660" w:type="dxa"/>
            <w:vAlign w:val="bottom"/>
          </w:tcPr>
          <w:p>
            <w:pPr>
              <w:jc w:val="right"/>
              <w:ind w:right="52"/>
              <w:spacing w:after="0"/>
              <w:rPr>
                <w:sz w:val="20"/>
                <w:szCs w:val="20"/>
                <w:color w:val="auto"/>
              </w:rPr>
            </w:pPr>
            <w:r>
              <w:rPr>
                <w:rFonts w:ascii="Times New Roman" w:cs="Times New Roman" w:eastAsia="Times New Roman" w:hAnsi="Times New Roman"/>
                <w:sz w:val="22"/>
                <w:szCs w:val="22"/>
                <w:b w:val="1"/>
                <w:bCs w:val="1"/>
                <w:color w:val="auto"/>
                <w:w w:val="98"/>
              </w:rPr>
              <w:t>August 31, 2024</w:t>
            </w:r>
          </w:p>
        </w:tc>
        <w:tc>
          <w:tcPr>
            <w:tcW w:w="0" w:type="dxa"/>
            <w:vAlign w:val="bottom"/>
          </w:tcPr>
          <w:p>
            <w:pPr>
              <w:spacing w:after="0"/>
              <w:rPr>
                <w:sz w:val="1"/>
                <w:szCs w:val="1"/>
                <w:color w:val="auto"/>
              </w:rPr>
            </w:pPr>
          </w:p>
        </w:tc>
      </w:tr>
      <w:tr>
        <w:trPr>
          <w:trHeight w:val="520"/>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Net sales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18,938,717</w:t>
            </w:r>
          </w:p>
        </w:tc>
        <w:tc>
          <w:tcPr>
            <w:tcW w:w="22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18,490,268</w:t>
            </w:r>
          </w:p>
        </w:tc>
        <w:tc>
          <w:tcPr>
            <w:tcW w:w="0" w:type="dxa"/>
            <w:vAlign w:val="bottom"/>
          </w:tcPr>
          <w:p>
            <w:pPr>
              <w:spacing w:after="0"/>
              <w:rPr>
                <w:sz w:val="1"/>
                <w:szCs w:val="1"/>
                <w:color w:val="auto"/>
              </w:rPr>
            </w:pPr>
          </w:p>
        </w:tc>
      </w:tr>
      <w:tr>
        <w:trPr>
          <w:trHeight w:val="283"/>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Cost of sales</w:t>
            </w: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8,972,243</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8,673,216</w:t>
            </w:r>
          </w:p>
        </w:tc>
        <w:tc>
          <w:tcPr>
            <w:tcW w:w="0" w:type="dxa"/>
            <w:vAlign w:val="bottom"/>
          </w:tcPr>
          <w:p>
            <w:pPr>
              <w:spacing w:after="0"/>
              <w:rPr>
                <w:sz w:val="1"/>
                <w:szCs w:val="1"/>
                <w:color w:val="auto"/>
              </w:rPr>
            </w:pPr>
          </w:p>
        </w:tc>
      </w:tr>
    </w:tbl>
    <w:p>
      <w:pPr>
        <w:sectPr>
          <w:pgSz w:w="11900" w:h="16877" w:orient="portrait"/>
          <w:cols w:equalWidth="0" w:num="1">
            <w:col w:w="11220"/>
          </w:cols>
          <w:pgMar w:left="340" w:top="126" w:right="3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Gross profit</w:t>
            </w:r>
          </w:p>
        </w:tc>
        <w:tc>
          <w:tcPr>
            <w:tcW w:w="12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9,966,474</w:t>
            </w: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9,817,052</w:t>
            </w:r>
          </w:p>
        </w:tc>
        <w:tc>
          <w:tcPr>
            <w:tcW w:w="0" w:type="dxa"/>
            <w:vAlign w:val="bottom"/>
          </w:tcPr>
          <w:p>
            <w:pPr>
              <w:spacing w:after="0"/>
              <w:rPr>
                <w:sz w:val="1"/>
                <w:szCs w:val="1"/>
                <w:color w:val="auto"/>
              </w:rPr>
            </w:pPr>
          </w:p>
        </w:tc>
      </w:tr>
      <w:tr>
        <w:trPr>
          <w:trHeight w:val="282"/>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Operating, SG&amp;A expenses</w:t>
            </w: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6,356,318</w:t>
            </w:r>
          </w:p>
        </w:tc>
        <w:tc>
          <w:tcPr>
            <w:tcW w:w="2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6,028,344</w:t>
            </w:r>
          </w:p>
        </w:tc>
        <w:tc>
          <w:tcPr>
            <w:tcW w:w="0" w:type="dxa"/>
            <w:vAlign w:val="bottom"/>
          </w:tcPr>
          <w:p>
            <w:pPr>
              <w:spacing w:after="0"/>
              <w:rPr>
                <w:sz w:val="1"/>
                <w:szCs w:val="1"/>
                <w:color w:val="auto"/>
              </w:rPr>
            </w:pPr>
          </w:p>
        </w:tc>
      </w:tr>
      <w:tr>
        <w:trPr>
          <w:trHeight w:val="251"/>
        </w:trPr>
        <w:tc>
          <w:tcPr>
            <w:tcW w:w="742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Operating profit (EBIT)</w:t>
            </w:r>
          </w:p>
        </w:tc>
        <w:tc>
          <w:tcPr>
            <w:tcW w:w="120" w:type="dxa"/>
            <w:vAlign w:val="bottom"/>
          </w:tcPr>
          <w:p>
            <w:pPr>
              <w:spacing w:after="0"/>
              <w:rPr>
                <w:sz w:val="21"/>
                <w:szCs w:val="21"/>
                <w:color w:val="auto"/>
              </w:rPr>
            </w:pPr>
          </w:p>
        </w:tc>
        <w:tc>
          <w:tcPr>
            <w:tcW w:w="166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3,610,156</w:t>
            </w: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3,788,708</w:t>
            </w:r>
          </w:p>
        </w:tc>
        <w:tc>
          <w:tcPr>
            <w:tcW w:w="0" w:type="dxa"/>
            <w:vAlign w:val="bottom"/>
          </w:tcPr>
          <w:p>
            <w:pPr>
              <w:spacing w:after="0"/>
              <w:rPr>
                <w:sz w:val="1"/>
                <w:szCs w:val="1"/>
                <w:color w:val="auto"/>
              </w:rPr>
            </w:pPr>
          </w:p>
        </w:tc>
      </w:tr>
      <w:tr>
        <w:trPr>
          <w:trHeight w:val="282"/>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Interest expense, net</w:t>
            </w: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475,824</w:t>
            </w:r>
          </w:p>
        </w:tc>
        <w:tc>
          <w:tcPr>
            <w:tcW w:w="2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451,578</w:t>
            </w:r>
          </w:p>
        </w:tc>
        <w:tc>
          <w:tcPr>
            <w:tcW w:w="0" w:type="dxa"/>
            <w:vAlign w:val="bottom"/>
          </w:tcPr>
          <w:p>
            <w:pPr>
              <w:spacing w:after="0"/>
              <w:rPr>
                <w:sz w:val="1"/>
                <w:szCs w:val="1"/>
                <w:color w:val="auto"/>
              </w:rPr>
            </w:pPr>
          </w:p>
        </w:tc>
      </w:tr>
      <w:tr>
        <w:trPr>
          <w:trHeight w:val="251"/>
        </w:trPr>
        <w:tc>
          <w:tcPr>
            <w:tcW w:w="742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Income before taxes</w:t>
            </w:r>
          </w:p>
        </w:tc>
        <w:tc>
          <w:tcPr>
            <w:tcW w:w="120" w:type="dxa"/>
            <w:vAlign w:val="bottom"/>
          </w:tcPr>
          <w:p>
            <w:pPr>
              <w:spacing w:after="0"/>
              <w:rPr>
                <w:sz w:val="21"/>
                <w:szCs w:val="21"/>
                <w:color w:val="auto"/>
              </w:rPr>
            </w:pPr>
          </w:p>
        </w:tc>
        <w:tc>
          <w:tcPr>
            <w:tcW w:w="166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3,134,332</w:t>
            </w: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3,337,130</w:t>
            </w:r>
          </w:p>
        </w:tc>
        <w:tc>
          <w:tcPr>
            <w:tcW w:w="0" w:type="dxa"/>
            <w:vAlign w:val="bottom"/>
          </w:tcPr>
          <w:p>
            <w:pPr>
              <w:spacing w:after="0"/>
              <w:rPr>
                <w:sz w:val="1"/>
                <w:szCs w:val="1"/>
                <w:color w:val="auto"/>
              </w:rPr>
            </w:pPr>
          </w:p>
        </w:tc>
      </w:tr>
      <w:tr>
        <w:trPr>
          <w:trHeight w:val="283"/>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Income tax expense</w:t>
            </w: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636,085</w:t>
            </w:r>
          </w:p>
        </w:tc>
        <w:tc>
          <w:tcPr>
            <w:tcW w:w="2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674,703</w:t>
            </w:r>
          </w:p>
        </w:tc>
        <w:tc>
          <w:tcPr>
            <w:tcW w:w="0" w:type="dxa"/>
            <w:vAlign w:val="bottom"/>
          </w:tcPr>
          <w:p>
            <w:pPr>
              <w:spacing w:after="0"/>
              <w:rPr>
                <w:sz w:val="1"/>
                <w:szCs w:val="1"/>
                <w:color w:val="auto"/>
              </w:rPr>
            </w:pPr>
          </w:p>
        </w:tc>
      </w:tr>
      <w:tr>
        <w:trPr>
          <w:trHeight w:val="264"/>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Net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2,498,247</w:t>
            </w:r>
          </w:p>
        </w:tc>
        <w:tc>
          <w:tcPr>
            <w:tcW w:w="220" w:type="dxa"/>
            <w:vAlign w:val="bottom"/>
          </w:tcPr>
          <w:p>
            <w:pPr>
              <w:spacing w:after="0"/>
              <w:rPr>
                <w:sz w:val="22"/>
                <w:szCs w:val="22"/>
                <w:color w:val="auto"/>
              </w:rPr>
            </w:pPr>
          </w:p>
        </w:tc>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2,662,427</w:t>
            </w: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Net income per share:</w:t>
            </w: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74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148.80</w:t>
            </w:r>
          </w:p>
        </w:tc>
        <w:tc>
          <w:tcPr>
            <w:tcW w:w="220" w:type="dxa"/>
            <w:vAlign w:val="bottom"/>
          </w:tcPr>
          <w:p>
            <w:pPr>
              <w:spacing w:after="0"/>
              <w:rPr>
                <w:sz w:val="23"/>
                <w:szCs w:val="23"/>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153.82</w:t>
            </w:r>
          </w:p>
        </w:tc>
        <w:tc>
          <w:tcPr>
            <w:tcW w:w="0" w:type="dxa"/>
            <w:vAlign w:val="bottom"/>
          </w:tcPr>
          <w:p>
            <w:pPr>
              <w:spacing w:after="0"/>
              <w:rPr>
                <w:sz w:val="1"/>
                <w:szCs w:val="1"/>
                <w:color w:val="auto"/>
              </w:rPr>
            </w:pPr>
          </w:p>
        </w:tc>
      </w:tr>
      <w:tr>
        <w:trPr>
          <w:trHeight w:val="270"/>
        </w:trPr>
        <w:tc>
          <w:tcPr>
            <w:tcW w:w="7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144.87</w:t>
            </w:r>
          </w:p>
        </w:tc>
        <w:tc>
          <w:tcPr>
            <w:tcW w:w="220" w:type="dxa"/>
            <w:vAlign w:val="bottom"/>
          </w:tcPr>
          <w:p>
            <w:pPr>
              <w:spacing w:after="0"/>
              <w:rPr>
                <w:sz w:val="23"/>
                <w:szCs w:val="23"/>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149.55</w:t>
            </w:r>
          </w:p>
        </w:tc>
        <w:tc>
          <w:tcPr>
            <w:tcW w:w="0" w:type="dxa"/>
            <w:vAlign w:val="bottom"/>
          </w:tcPr>
          <w:p>
            <w:pPr>
              <w:spacing w:after="0"/>
              <w:rPr>
                <w:sz w:val="1"/>
                <w:szCs w:val="1"/>
                <w:color w:val="auto"/>
              </w:rPr>
            </w:pPr>
          </w:p>
        </w:tc>
      </w:tr>
      <w:tr>
        <w:trPr>
          <w:trHeight w:val="270"/>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Weighted average shares outstanding:</w:t>
            </w:r>
          </w:p>
        </w:tc>
        <w:tc>
          <w:tcPr>
            <w:tcW w:w="1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Basic</w:t>
            </w:r>
          </w:p>
        </w:tc>
        <w:tc>
          <w:tcPr>
            <w:tcW w:w="12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16,789</w:t>
            </w: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17,309</w:t>
            </w:r>
          </w:p>
        </w:tc>
        <w:tc>
          <w:tcPr>
            <w:tcW w:w="0" w:type="dxa"/>
            <w:vAlign w:val="bottom"/>
          </w:tcPr>
          <w:p>
            <w:pPr>
              <w:spacing w:after="0"/>
              <w:rPr>
                <w:sz w:val="1"/>
                <w:szCs w:val="1"/>
                <w:color w:val="auto"/>
              </w:rPr>
            </w:pPr>
          </w:p>
        </w:tc>
      </w:tr>
      <w:tr>
        <w:trPr>
          <w:trHeight w:val="282"/>
        </w:trPr>
        <w:tc>
          <w:tcPr>
            <w:tcW w:w="7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Diluted</w:t>
            </w:r>
          </w:p>
        </w:tc>
        <w:tc>
          <w:tcPr>
            <w:tcW w:w="12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17,245</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17,803</w:t>
            </w:r>
          </w:p>
        </w:tc>
        <w:tc>
          <w:tcPr>
            <w:tcW w:w="0" w:type="dxa"/>
            <w:vAlign w:val="bottom"/>
          </w:tcPr>
          <w:p>
            <w:pPr>
              <w:spacing w:after="0"/>
              <w:rPr>
                <w:sz w:val="1"/>
                <w:szCs w:val="1"/>
                <w:color w:val="auto"/>
              </w:rPr>
            </w:pPr>
          </w:p>
        </w:tc>
      </w:tr>
      <w:tr>
        <w:trPr>
          <w:trHeight w:val="541"/>
        </w:trPr>
        <w:tc>
          <w:tcPr>
            <w:tcW w:w="74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3"/>
          </w:tcPr>
          <w:p>
            <w:pPr>
              <w:jc w:val="center"/>
              <w:ind w:left="852"/>
              <w:spacing w:after="0"/>
              <w:rPr>
                <w:sz w:val="20"/>
                <w:szCs w:val="20"/>
                <w:color w:val="auto"/>
              </w:rPr>
            </w:pPr>
            <w:r>
              <w:rPr>
                <w:rFonts w:ascii="Times New Roman" w:cs="Times New Roman" w:eastAsia="Times New Roman" w:hAnsi="Times New Roman"/>
                <w:sz w:val="22"/>
                <w:szCs w:val="22"/>
                <w:b w:val="1"/>
                <w:bCs w:val="1"/>
                <w:color w:val="auto"/>
                <w:w w:val="98"/>
              </w:rPr>
              <w:t>Adjustments</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7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2"/>
          </w:tcPr>
          <w:p>
            <w:pPr>
              <w:jc w:val="center"/>
              <w:ind w:right="340"/>
              <w:spacing w:after="0"/>
              <w:rPr>
                <w:sz w:val="20"/>
                <w:szCs w:val="20"/>
                <w:color w:val="auto"/>
              </w:rPr>
            </w:pPr>
            <w:r>
              <w:rPr>
                <w:rFonts w:ascii="Times New Roman" w:cs="Times New Roman" w:eastAsia="Times New Roman" w:hAnsi="Times New Roman"/>
                <w:sz w:val="22"/>
                <w:szCs w:val="22"/>
                <w:b w:val="1"/>
                <w:bCs w:val="1"/>
                <w:color w:val="auto"/>
                <w:w w:val="97"/>
              </w:rPr>
              <w:t>August 30, 2025</w:t>
            </w:r>
          </w:p>
        </w:tc>
        <w:tc>
          <w:tcPr>
            <w:tcW w:w="1800" w:type="dxa"/>
            <w:vAlign w:val="bottom"/>
            <w:gridSpan w:val="2"/>
          </w:tcPr>
          <w:p>
            <w:pPr>
              <w:ind w:left="40"/>
              <w:spacing w:after="0" w:line="317" w:lineRule="exact"/>
              <w:rPr>
                <w:sz w:val="20"/>
                <w:szCs w:val="20"/>
                <w:color w:val="auto"/>
              </w:rPr>
            </w:pPr>
            <w:r>
              <w:rPr>
                <w:rFonts w:ascii="Times New Roman" w:cs="Times New Roman" w:eastAsia="Times New Roman" w:hAnsi="Times New Roman"/>
                <w:sz w:val="22"/>
                <w:szCs w:val="22"/>
                <w:b w:val="1"/>
                <w:bCs w:val="1"/>
                <w:color w:val="auto"/>
                <w:w w:val="95"/>
              </w:rPr>
              <w:t xml:space="preserve">August 31, 2024 </w:t>
            </w:r>
            <w:r>
              <w:rPr>
                <w:rFonts w:ascii="Times New Roman" w:cs="Times New Roman" w:eastAsia="Times New Roman" w:hAnsi="Times New Roman"/>
                <w:sz w:val="35"/>
                <w:szCs w:val="35"/>
                <w:b w:val="1"/>
                <w:bCs w:val="1"/>
                <w:color w:val="auto"/>
                <w:w w:val="95"/>
                <w:vertAlign w:val="superscript"/>
              </w:rPr>
              <w:t>(1)</w:t>
            </w:r>
          </w:p>
        </w:tc>
        <w:tc>
          <w:tcPr>
            <w:tcW w:w="0" w:type="dxa"/>
            <w:vAlign w:val="bottom"/>
          </w:tcPr>
          <w:p>
            <w:pPr>
              <w:spacing w:after="0"/>
              <w:rPr>
                <w:sz w:val="1"/>
                <w:szCs w:val="1"/>
                <w:color w:val="auto"/>
              </w:rPr>
            </w:pPr>
          </w:p>
        </w:tc>
      </w:tr>
      <w:tr>
        <w:trPr>
          <w:trHeight w:val="520"/>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Net sales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4"/>
                <w:szCs w:val="24"/>
                <w:color w:val="auto"/>
              </w:rPr>
            </w:pPr>
          </w:p>
        </w:tc>
        <w:tc>
          <w:tcPr>
            <w:tcW w:w="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365,879</w:t>
            </w:r>
          </w:p>
        </w:tc>
        <w:tc>
          <w:tcPr>
            <w:tcW w:w="0" w:type="dxa"/>
            <w:vAlign w:val="bottom"/>
          </w:tcPr>
          <w:p>
            <w:pPr>
              <w:spacing w:after="0"/>
              <w:rPr>
                <w:sz w:val="1"/>
                <w:szCs w:val="1"/>
                <w:color w:val="auto"/>
              </w:rPr>
            </w:pPr>
          </w:p>
        </w:tc>
      </w:tr>
      <w:tr>
        <w:trPr>
          <w:trHeight w:val="282"/>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Cost of sales</w:t>
            </w: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176,855</w:t>
            </w:r>
          </w:p>
        </w:tc>
        <w:tc>
          <w:tcPr>
            <w:tcW w:w="0" w:type="dxa"/>
            <w:vAlign w:val="bottom"/>
          </w:tcPr>
          <w:p>
            <w:pPr>
              <w:spacing w:after="0"/>
              <w:rPr>
                <w:sz w:val="1"/>
                <w:szCs w:val="1"/>
                <w:color w:val="auto"/>
              </w:rPr>
            </w:pPr>
          </w:p>
        </w:tc>
      </w:tr>
      <w:tr>
        <w:trPr>
          <w:trHeight w:val="251"/>
        </w:trPr>
        <w:tc>
          <w:tcPr>
            <w:tcW w:w="742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Gross profit</w:t>
            </w:r>
          </w:p>
        </w:tc>
        <w:tc>
          <w:tcPr>
            <w:tcW w:w="120" w:type="dxa"/>
            <w:vAlign w:val="bottom"/>
          </w:tcPr>
          <w:p>
            <w:pPr>
              <w:spacing w:after="0"/>
              <w:rPr>
                <w:sz w:val="21"/>
                <w:szCs w:val="21"/>
                <w:color w:val="auto"/>
              </w:rPr>
            </w:pPr>
          </w:p>
        </w:tc>
        <w:tc>
          <w:tcPr>
            <w:tcW w:w="166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189,024</w:t>
            </w:r>
          </w:p>
        </w:tc>
        <w:tc>
          <w:tcPr>
            <w:tcW w:w="0" w:type="dxa"/>
            <w:vAlign w:val="bottom"/>
          </w:tcPr>
          <w:p>
            <w:pPr>
              <w:spacing w:after="0"/>
              <w:rPr>
                <w:sz w:val="1"/>
                <w:szCs w:val="1"/>
                <w:color w:val="auto"/>
              </w:rPr>
            </w:pPr>
          </w:p>
        </w:tc>
      </w:tr>
      <w:tr>
        <w:trPr>
          <w:trHeight w:val="282"/>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Operating, SG&amp;A expenses</w:t>
            </w: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102,278</w:t>
            </w:r>
          </w:p>
        </w:tc>
        <w:tc>
          <w:tcPr>
            <w:tcW w:w="0" w:type="dxa"/>
            <w:vAlign w:val="bottom"/>
          </w:tcPr>
          <w:p>
            <w:pPr>
              <w:spacing w:after="0"/>
              <w:rPr>
                <w:sz w:val="1"/>
                <w:szCs w:val="1"/>
                <w:color w:val="auto"/>
              </w:rPr>
            </w:pPr>
          </w:p>
        </w:tc>
      </w:tr>
      <w:tr>
        <w:trPr>
          <w:trHeight w:val="251"/>
        </w:trPr>
        <w:tc>
          <w:tcPr>
            <w:tcW w:w="742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Operating profit (EBIT)</w:t>
            </w:r>
          </w:p>
        </w:tc>
        <w:tc>
          <w:tcPr>
            <w:tcW w:w="120" w:type="dxa"/>
            <w:vAlign w:val="bottom"/>
          </w:tcPr>
          <w:p>
            <w:pPr>
              <w:spacing w:after="0"/>
              <w:rPr>
                <w:sz w:val="21"/>
                <w:szCs w:val="21"/>
                <w:color w:val="auto"/>
              </w:rPr>
            </w:pPr>
          </w:p>
        </w:tc>
        <w:tc>
          <w:tcPr>
            <w:tcW w:w="166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86,746</w:t>
            </w:r>
          </w:p>
        </w:tc>
        <w:tc>
          <w:tcPr>
            <w:tcW w:w="0" w:type="dxa"/>
            <w:vAlign w:val="bottom"/>
          </w:tcPr>
          <w:p>
            <w:pPr>
              <w:spacing w:after="0"/>
              <w:rPr>
                <w:sz w:val="1"/>
                <w:szCs w:val="1"/>
                <w:color w:val="auto"/>
              </w:rPr>
            </w:pPr>
          </w:p>
        </w:tc>
      </w:tr>
      <w:tr>
        <w:trPr>
          <w:trHeight w:val="282"/>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Interest expense, net</w:t>
            </w: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9,009</w:t>
            </w:r>
          </w:p>
        </w:tc>
        <w:tc>
          <w:tcPr>
            <w:tcW w:w="0" w:type="dxa"/>
            <w:vAlign w:val="bottom"/>
          </w:tcPr>
          <w:p>
            <w:pPr>
              <w:spacing w:after="0"/>
              <w:rPr>
                <w:sz w:val="1"/>
                <w:szCs w:val="1"/>
                <w:color w:val="auto"/>
              </w:rPr>
            </w:pPr>
          </w:p>
        </w:tc>
      </w:tr>
      <w:tr>
        <w:trPr>
          <w:trHeight w:val="251"/>
        </w:trPr>
        <w:tc>
          <w:tcPr>
            <w:tcW w:w="742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Income before taxes</w:t>
            </w:r>
          </w:p>
        </w:tc>
        <w:tc>
          <w:tcPr>
            <w:tcW w:w="120" w:type="dxa"/>
            <w:vAlign w:val="bottom"/>
          </w:tcPr>
          <w:p>
            <w:pPr>
              <w:spacing w:after="0"/>
              <w:rPr>
                <w:sz w:val="21"/>
                <w:szCs w:val="21"/>
                <w:color w:val="auto"/>
              </w:rPr>
            </w:pPr>
          </w:p>
        </w:tc>
        <w:tc>
          <w:tcPr>
            <w:tcW w:w="166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77,737</w:t>
            </w:r>
          </w:p>
        </w:tc>
        <w:tc>
          <w:tcPr>
            <w:tcW w:w="0" w:type="dxa"/>
            <w:vAlign w:val="bottom"/>
          </w:tcPr>
          <w:p>
            <w:pPr>
              <w:spacing w:after="0"/>
              <w:rPr>
                <w:sz w:val="1"/>
                <w:szCs w:val="1"/>
                <w:color w:val="auto"/>
              </w:rPr>
            </w:pPr>
          </w:p>
        </w:tc>
      </w:tr>
      <w:tr>
        <w:trPr>
          <w:trHeight w:val="283"/>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Income tax expense</w:t>
            </w: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17,024</w:t>
            </w:r>
          </w:p>
        </w:tc>
        <w:tc>
          <w:tcPr>
            <w:tcW w:w="0" w:type="dxa"/>
            <w:vAlign w:val="bottom"/>
          </w:tcPr>
          <w:p>
            <w:pPr>
              <w:spacing w:after="0"/>
              <w:rPr>
                <w:sz w:val="1"/>
                <w:szCs w:val="1"/>
                <w:color w:val="auto"/>
              </w:rPr>
            </w:pPr>
          </w:p>
        </w:tc>
      </w:tr>
      <w:tr>
        <w:trPr>
          <w:trHeight w:val="264"/>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Net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2"/>
                <w:szCs w:val="22"/>
                <w:color w:val="auto"/>
              </w:rPr>
            </w:pPr>
          </w:p>
        </w:tc>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60,713</w:t>
            </w: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Earnings per share:</w:t>
            </w: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74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3"/>
                <w:szCs w:val="23"/>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3.51</w:t>
            </w:r>
          </w:p>
        </w:tc>
        <w:tc>
          <w:tcPr>
            <w:tcW w:w="0" w:type="dxa"/>
            <w:vAlign w:val="bottom"/>
          </w:tcPr>
          <w:p>
            <w:pPr>
              <w:spacing w:after="0"/>
              <w:rPr>
                <w:sz w:val="1"/>
                <w:szCs w:val="1"/>
                <w:color w:val="auto"/>
              </w:rPr>
            </w:pPr>
          </w:p>
        </w:tc>
      </w:tr>
      <w:tr>
        <w:trPr>
          <w:trHeight w:val="270"/>
        </w:trPr>
        <w:tc>
          <w:tcPr>
            <w:tcW w:w="7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3"/>
                <w:szCs w:val="23"/>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3.41</w:t>
            </w:r>
          </w:p>
        </w:tc>
        <w:tc>
          <w:tcPr>
            <w:tcW w:w="0" w:type="dxa"/>
            <w:vAlign w:val="bottom"/>
          </w:tcPr>
          <w:p>
            <w:pPr>
              <w:spacing w:after="0"/>
              <w:rPr>
                <w:sz w:val="1"/>
                <w:szCs w:val="1"/>
                <w:color w:val="auto"/>
              </w:rPr>
            </w:pPr>
          </w:p>
        </w:tc>
      </w:tr>
      <w:tr>
        <w:trPr>
          <w:trHeight w:val="270"/>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Weighted average shares outstanding:</w:t>
            </w:r>
          </w:p>
        </w:tc>
        <w:tc>
          <w:tcPr>
            <w:tcW w:w="1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Basic</w:t>
            </w:r>
          </w:p>
        </w:tc>
        <w:tc>
          <w:tcPr>
            <w:tcW w:w="12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82"/>
        </w:trPr>
        <w:tc>
          <w:tcPr>
            <w:tcW w:w="7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Diluted</w:t>
            </w:r>
          </w:p>
        </w:tc>
        <w:tc>
          <w:tcPr>
            <w:tcW w:w="12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541"/>
        </w:trPr>
        <w:tc>
          <w:tcPr>
            <w:tcW w:w="74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3"/>
          </w:tcPr>
          <w:p>
            <w:pPr>
              <w:jc w:val="center"/>
              <w:ind w:left="872"/>
              <w:spacing w:after="0"/>
              <w:rPr>
                <w:sz w:val="20"/>
                <w:szCs w:val="20"/>
                <w:color w:val="auto"/>
              </w:rPr>
            </w:pPr>
            <w:r>
              <w:rPr>
                <w:rFonts w:ascii="Times New Roman" w:cs="Times New Roman" w:eastAsia="Times New Roman" w:hAnsi="Times New Roman"/>
                <w:sz w:val="22"/>
                <w:szCs w:val="22"/>
                <w:b w:val="1"/>
                <w:bCs w:val="1"/>
                <w:color w:val="auto"/>
                <w:w w:val="97"/>
              </w:rPr>
              <w:t>Adjusted Results</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7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80" w:type="dxa"/>
            <w:vAlign w:val="bottom"/>
            <w:gridSpan w:val="2"/>
          </w:tcPr>
          <w:p>
            <w:pPr>
              <w:jc w:val="center"/>
              <w:ind w:right="340"/>
              <w:spacing w:after="0"/>
              <w:rPr>
                <w:sz w:val="20"/>
                <w:szCs w:val="20"/>
                <w:color w:val="auto"/>
              </w:rPr>
            </w:pPr>
            <w:r>
              <w:rPr>
                <w:rFonts w:ascii="Times New Roman" w:cs="Times New Roman" w:eastAsia="Times New Roman" w:hAnsi="Times New Roman"/>
                <w:sz w:val="22"/>
                <w:szCs w:val="22"/>
                <w:b w:val="1"/>
                <w:bCs w:val="1"/>
                <w:color w:val="auto"/>
                <w:w w:val="98"/>
              </w:rPr>
              <w:t>52 Weeks Ended</w:t>
            </w:r>
          </w:p>
        </w:tc>
        <w:tc>
          <w:tcPr>
            <w:tcW w:w="1800" w:type="dxa"/>
            <w:vAlign w:val="bottom"/>
            <w:gridSpan w:val="2"/>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52 Weeks Ended</w:t>
            </w:r>
          </w:p>
        </w:tc>
        <w:tc>
          <w:tcPr>
            <w:tcW w:w="0" w:type="dxa"/>
            <w:vAlign w:val="bottom"/>
          </w:tcPr>
          <w:p>
            <w:pPr>
              <w:spacing w:after="0"/>
              <w:rPr>
                <w:sz w:val="1"/>
                <w:szCs w:val="1"/>
                <w:color w:val="auto"/>
              </w:rPr>
            </w:pPr>
          </w:p>
        </w:tc>
      </w:tr>
      <w:tr>
        <w:trPr>
          <w:trHeight w:val="333"/>
        </w:trPr>
        <w:tc>
          <w:tcPr>
            <w:tcW w:w="7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2"/>
          </w:tcPr>
          <w:p>
            <w:pPr>
              <w:jc w:val="center"/>
              <w:ind w:right="340"/>
              <w:spacing w:after="0"/>
              <w:rPr>
                <w:sz w:val="20"/>
                <w:szCs w:val="20"/>
                <w:color w:val="auto"/>
              </w:rPr>
            </w:pPr>
            <w:r>
              <w:rPr>
                <w:rFonts w:ascii="Times New Roman" w:cs="Times New Roman" w:eastAsia="Times New Roman" w:hAnsi="Times New Roman"/>
                <w:sz w:val="22"/>
                <w:szCs w:val="22"/>
                <w:b w:val="1"/>
                <w:bCs w:val="1"/>
                <w:color w:val="auto"/>
                <w:w w:val="97"/>
              </w:rPr>
              <w:t>August 30, 2025</w:t>
            </w:r>
          </w:p>
        </w:tc>
        <w:tc>
          <w:tcPr>
            <w:tcW w:w="1800" w:type="dxa"/>
            <w:vAlign w:val="bottom"/>
            <w:gridSpan w:val="2"/>
          </w:tcPr>
          <w:p>
            <w:pPr>
              <w:ind w:left="40"/>
              <w:spacing w:after="0" w:line="333" w:lineRule="exact"/>
              <w:rPr>
                <w:sz w:val="20"/>
                <w:szCs w:val="20"/>
                <w:color w:val="auto"/>
              </w:rPr>
            </w:pPr>
            <w:r>
              <w:rPr>
                <w:rFonts w:ascii="Times New Roman" w:cs="Times New Roman" w:eastAsia="Times New Roman" w:hAnsi="Times New Roman"/>
                <w:sz w:val="22"/>
                <w:szCs w:val="22"/>
                <w:b w:val="1"/>
                <w:bCs w:val="1"/>
                <w:color w:val="auto"/>
                <w:w w:val="95"/>
              </w:rPr>
              <w:t xml:space="preserve">August 31, 2024 </w:t>
            </w:r>
            <w:r>
              <w:rPr>
                <w:rFonts w:ascii="Times New Roman" w:cs="Times New Roman" w:eastAsia="Times New Roman" w:hAnsi="Times New Roman"/>
                <w:sz w:val="35"/>
                <w:szCs w:val="35"/>
                <w:b w:val="1"/>
                <w:bCs w:val="1"/>
                <w:color w:val="auto"/>
                <w:w w:val="95"/>
                <w:vertAlign w:val="superscript"/>
              </w:rPr>
              <w:t>(1)</w:t>
            </w:r>
          </w:p>
        </w:tc>
        <w:tc>
          <w:tcPr>
            <w:tcW w:w="0" w:type="dxa"/>
            <w:vAlign w:val="bottom"/>
          </w:tcPr>
          <w:p>
            <w:pPr>
              <w:spacing w:after="0"/>
              <w:rPr>
                <w:sz w:val="1"/>
                <w:szCs w:val="1"/>
                <w:color w:val="auto"/>
              </w:rPr>
            </w:pPr>
          </w:p>
        </w:tc>
      </w:tr>
      <w:tr>
        <w:trPr>
          <w:trHeight w:val="520"/>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Net sales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18,938,717</w:t>
            </w:r>
          </w:p>
        </w:tc>
        <w:tc>
          <w:tcPr>
            <w:tcW w:w="220" w:type="dxa"/>
            <w:vAlign w:val="bottom"/>
          </w:tcPr>
          <w:p>
            <w:pPr>
              <w:spacing w:after="0"/>
              <w:rPr>
                <w:sz w:val="24"/>
                <w:szCs w:val="24"/>
                <w:color w:val="auto"/>
              </w:rPr>
            </w:pPr>
          </w:p>
        </w:tc>
        <w:tc>
          <w:tcPr>
            <w:tcW w:w="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8"/>
              </w:rPr>
              <w:t>18,124,389</w:t>
            </w:r>
          </w:p>
        </w:tc>
        <w:tc>
          <w:tcPr>
            <w:tcW w:w="0" w:type="dxa"/>
            <w:vAlign w:val="bottom"/>
          </w:tcPr>
          <w:p>
            <w:pPr>
              <w:spacing w:after="0"/>
              <w:rPr>
                <w:sz w:val="1"/>
                <w:szCs w:val="1"/>
                <w:color w:val="auto"/>
              </w:rPr>
            </w:pPr>
          </w:p>
        </w:tc>
      </w:tr>
      <w:tr>
        <w:trPr>
          <w:trHeight w:val="282"/>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Cost of sales</w:t>
            </w: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8,972,243</w:t>
            </w:r>
          </w:p>
        </w:tc>
        <w:tc>
          <w:tcPr>
            <w:tcW w:w="2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8,496,361</w:t>
            </w:r>
          </w:p>
        </w:tc>
        <w:tc>
          <w:tcPr>
            <w:tcW w:w="0" w:type="dxa"/>
            <w:vAlign w:val="bottom"/>
          </w:tcPr>
          <w:p>
            <w:pPr>
              <w:spacing w:after="0"/>
              <w:rPr>
                <w:sz w:val="1"/>
                <w:szCs w:val="1"/>
                <w:color w:val="auto"/>
              </w:rPr>
            </w:pPr>
          </w:p>
        </w:tc>
      </w:tr>
      <w:tr>
        <w:trPr>
          <w:trHeight w:val="251"/>
        </w:trPr>
        <w:tc>
          <w:tcPr>
            <w:tcW w:w="742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Gross profit</w:t>
            </w:r>
          </w:p>
        </w:tc>
        <w:tc>
          <w:tcPr>
            <w:tcW w:w="120" w:type="dxa"/>
            <w:vAlign w:val="bottom"/>
          </w:tcPr>
          <w:p>
            <w:pPr>
              <w:spacing w:after="0"/>
              <w:rPr>
                <w:sz w:val="21"/>
                <w:szCs w:val="21"/>
                <w:color w:val="auto"/>
              </w:rPr>
            </w:pPr>
          </w:p>
        </w:tc>
        <w:tc>
          <w:tcPr>
            <w:tcW w:w="166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9,966,474</w:t>
            </w: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9,628,028</w:t>
            </w:r>
          </w:p>
        </w:tc>
        <w:tc>
          <w:tcPr>
            <w:tcW w:w="0" w:type="dxa"/>
            <w:vAlign w:val="bottom"/>
          </w:tcPr>
          <w:p>
            <w:pPr>
              <w:spacing w:after="0"/>
              <w:rPr>
                <w:sz w:val="1"/>
                <w:szCs w:val="1"/>
                <w:color w:val="auto"/>
              </w:rPr>
            </w:pPr>
          </w:p>
        </w:tc>
      </w:tr>
      <w:tr>
        <w:trPr>
          <w:trHeight w:val="282"/>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Operating, SG&amp;A expenses</w:t>
            </w: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6,356,318</w:t>
            </w:r>
          </w:p>
        </w:tc>
        <w:tc>
          <w:tcPr>
            <w:tcW w:w="2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5,926,066</w:t>
            </w:r>
          </w:p>
        </w:tc>
        <w:tc>
          <w:tcPr>
            <w:tcW w:w="0" w:type="dxa"/>
            <w:vAlign w:val="bottom"/>
          </w:tcPr>
          <w:p>
            <w:pPr>
              <w:spacing w:after="0"/>
              <w:rPr>
                <w:sz w:val="1"/>
                <w:szCs w:val="1"/>
                <w:color w:val="auto"/>
              </w:rPr>
            </w:pPr>
          </w:p>
        </w:tc>
      </w:tr>
      <w:tr>
        <w:trPr>
          <w:trHeight w:val="251"/>
        </w:trPr>
        <w:tc>
          <w:tcPr>
            <w:tcW w:w="742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Operating profit (EBIT)</w:t>
            </w:r>
          </w:p>
        </w:tc>
        <w:tc>
          <w:tcPr>
            <w:tcW w:w="120" w:type="dxa"/>
            <w:vAlign w:val="bottom"/>
          </w:tcPr>
          <w:p>
            <w:pPr>
              <w:spacing w:after="0"/>
              <w:rPr>
                <w:sz w:val="21"/>
                <w:szCs w:val="21"/>
                <w:color w:val="auto"/>
              </w:rPr>
            </w:pPr>
          </w:p>
        </w:tc>
        <w:tc>
          <w:tcPr>
            <w:tcW w:w="166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3,610,156</w:t>
            </w: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3,701,962</w:t>
            </w:r>
          </w:p>
        </w:tc>
        <w:tc>
          <w:tcPr>
            <w:tcW w:w="0" w:type="dxa"/>
            <w:vAlign w:val="bottom"/>
          </w:tcPr>
          <w:p>
            <w:pPr>
              <w:spacing w:after="0"/>
              <w:rPr>
                <w:sz w:val="1"/>
                <w:szCs w:val="1"/>
                <w:color w:val="auto"/>
              </w:rPr>
            </w:pPr>
          </w:p>
        </w:tc>
      </w:tr>
      <w:tr>
        <w:trPr>
          <w:trHeight w:val="282"/>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Interest expense, net</w:t>
            </w: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475,824</w:t>
            </w:r>
          </w:p>
        </w:tc>
        <w:tc>
          <w:tcPr>
            <w:tcW w:w="2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442,569</w:t>
            </w:r>
          </w:p>
        </w:tc>
        <w:tc>
          <w:tcPr>
            <w:tcW w:w="0" w:type="dxa"/>
            <w:vAlign w:val="bottom"/>
          </w:tcPr>
          <w:p>
            <w:pPr>
              <w:spacing w:after="0"/>
              <w:rPr>
                <w:sz w:val="1"/>
                <w:szCs w:val="1"/>
                <w:color w:val="auto"/>
              </w:rPr>
            </w:pPr>
          </w:p>
        </w:tc>
      </w:tr>
      <w:tr>
        <w:trPr>
          <w:trHeight w:val="251"/>
        </w:trPr>
        <w:tc>
          <w:tcPr>
            <w:tcW w:w="742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Income before taxes</w:t>
            </w:r>
          </w:p>
        </w:tc>
        <w:tc>
          <w:tcPr>
            <w:tcW w:w="120" w:type="dxa"/>
            <w:vAlign w:val="bottom"/>
          </w:tcPr>
          <w:p>
            <w:pPr>
              <w:spacing w:after="0"/>
              <w:rPr>
                <w:sz w:val="21"/>
                <w:szCs w:val="21"/>
                <w:color w:val="auto"/>
              </w:rPr>
            </w:pPr>
          </w:p>
        </w:tc>
        <w:tc>
          <w:tcPr>
            <w:tcW w:w="166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3,134,332</w:t>
            </w: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3,259,393</w:t>
            </w:r>
          </w:p>
        </w:tc>
        <w:tc>
          <w:tcPr>
            <w:tcW w:w="0" w:type="dxa"/>
            <w:vAlign w:val="bottom"/>
          </w:tcPr>
          <w:p>
            <w:pPr>
              <w:spacing w:after="0"/>
              <w:rPr>
                <w:sz w:val="1"/>
                <w:szCs w:val="1"/>
                <w:color w:val="auto"/>
              </w:rPr>
            </w:pPr>
          </w:p>
        </w:tc>
      </w:tr>
      <w:tr>
        <w:trPr>
          <w:trHeight w:val="283"/>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Income tax expense</w:t>
            </w: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636,085</w:t>
            </w:r>
          </w:p>
        </w:tc>
        <w:tc>
          <w:tcPr>
            <w:tcW w:w="2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657,679</w:t>
            </w:r>
          </w:p>
        </w:tc>
        <w:tc>
          <w:tcPr>
            <w:tcW w:w="0" w:type="dxa"/>
            <w:vAlign w:val="bottom"/>
          </w:tcPr>
          <w:p>
            <w:pPr>
              <w:spacing w:after="0"/>
              <w:rPr>
                <w:sz w:val="1"/>
                <w:szCs w:val="1"/>
                <w:color w:val="auto"/>
              </w:rPr>
            </w:pPr>
          </w:p>
        </w:tc>
      </w:tr>
      <w:tr>
        <w:trPr>
          <w:trHeight w:val="264"/>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Net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2,498,247</w:t>
            </w:r>
          </w:p>
        </w:tc>
        <w:tc>
          <w:tcPr>
            <w:tcW w:w="220" w:type="dxa"/>
            <w:vAlign w:val="bottom"/>
          </w:tcPr>
          <w:p>
            <w:pPr>
              <w:spacing w:after="0"/>
              <w:rPr>
                <w:sz w:val="22"/>
                <w:szCs w:val="22"/>
                <w:color w:val="auto"/>
              </w:rPr>
            </w:pPr>
          </w:p>
        </w:tc>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2,601,714</w:t>
            </w:r>
          </w:p>
        </w:tc>
        <w:tc>
          <w:tcPr>
            <w:tcW w:w="0" w:type="dxa"/>
            <w:vAlign w:val="bottom"/>
          </w:tcPr>
          <w:p>
            <w:pPr>
              <w:spacing w:after="0"/>
              <w:rPr>
                <w:sz w:val="1"/>
                <w:szCs w:val="1"/>
                <w:color w:val="auto"/>
              </w:rPr>
            </w:pPr>
          </w:p>
        </w:tc>
      </w:tr>
      <w:tr>
        <w:trPr>
          <w:trHeight w:val="21"/>
        </w:trPr>
        <w:tc>
          <w:tcPr>
            <w:tcW w:w="7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Earnings per share:</w:t>
            </w: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74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148.80</w:t>
            </w:r>
          </w:p>
        </w:tc>
        <w:tc>
          <w:tcPr>
            <w:tcW w:w="220" w:type="dxa"/>
            <w:vAlign w:val="bottom"/>
          </w:tcPr>
          <w:p>
            <w:pPr>
              <w:spacing w:after="0"/>
              <w:rPr>
                <w:sz w:val="23"/>
                <w:szCs w:val="23"/>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150.31</w:t>
            </w:r>
          </w:p>
        </w:tc>
        <w:tc>
          <w:tcPr>
            <w:tcW w:w="0" w:type="dxa"/>
            <w:vAlign w:val="bottom"/>
          </w:tcPr>
          <w:p>
            <w:pPr>
              <w:spacing w:after="0"/>
              <w:rPr>
                <w:sz w:val="1"/>
                <w:szCs w:val="1"/>
                <w:color w:val="auto"/>
              </w:rPr>
            </w:pPr>
          </w:p>
        </w:tc>
      </w:tr>
      <w:tr>
        <w:trPr>
          <w:trHeight w:val="270"/>
        </w:trPr>
        <w:tc>
          <w:tcPr>
            <w:tcW w:w="7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144.87</w:t>
            </w:r>
          </w:p>
        </w:tc>
        <w:tc>
          <w:tcPr>
            <w:tcW w:w="220" w:type="dxa"/>
            <w:vAlign w:val="bottom"/>
          </w:tcPr>
          <w:p>
            <w:pPr>
              <w:spacing w:after="0"/>
              <w:rPr>
                <w:sz w:val="23"/>
                <w:szCs w:val="23"/>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146.14</w:t>
            </w:r>
          </w:p>
        </w:tc>
        <w:tc>
          <w:tcPr>
            <w:tcW w:w="0" w:type="dxa"/>
            <w:vAlign w:val="bottom"/>
          </w:tcPr>
          <w:p>
            <w:pPr>
              <w:spacing w:after="0"/>
              <w:rPr>
                <w:sz w:val="1"/>
                <w:szCs w:val="1"/>
                <w:color w:val="auto"/>
              </w:rPr>
            </w:pPr>
          </w:p>
        </w:tc>
      </w:tr>
      <w:tr>
        <w:trPr>
          <w:trHeight w:val="270"/>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Weighted average shares outstanding:</w:t>
            </w:r>
          </w:p>
        </w:tc>
        <w:tc>
          <w:tcPr>
            <w:tcW w:w="1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Basic</w:t>
            </w:r>
          </w:p>
        </w:tc>
        <w:tc>
          <w:tcPr>
            <w:tcW w:w="12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16,789</w:t>
            </w: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17,309</w:t>
            </w:r>
          </w:p>
        </w:tc>
        <w:tc>
          <w:tcPr>
            <w:tcW w:w="0" w:type="dxa"/>
            <w:vAlign w:val="bottom"/>
          </w:tcPr>
          <w:p>
            <w:pPr>
              <w:spacing w:after="0"/>
              <w:rPr>
                <w:sz w:val="1"/>
                <w:szCs w:val="1"/>
                <w:color w:val="auto"/>
              </w:rPr>
            </w:pPr>
          </w:p>
        </w:tc>
      </w:tr>
      <w:tr>
        <w:trPr>
          <w:trHeight w:val="282"/>
        </w:trPr>
        <w:tc>
          <w:tcPr>
            <w:tcW w:w="7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Diluted</w:t>
            </w:r>
          </w:p>
        </w:tc>
        <w:tc>
          <w:tcPr>
            <w:tcW w:w="12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17,245</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17,803</w:t>
            </w: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35"/>
          <w:szCs w:val="35"/>
          <w:i w:val="1"/>
          <w:iCs w:val="1"/>
          <w:color w:val="auto"/>
          <w:vertAlign w:val="superscript"/>
        </w:rPr>
        <w:t>(1)</w:t>
      </w:r>
      <w:r>
        <w:rPr>
          <w:rFonts w:ascii="Times New Roman" w:cs="Times New Roman" w:eastAsia="Times New Roman" w:hAnsi="Times New Roman"/>
          <w:sz w:val="22"/>
          <w:szCs w:val="22"/>
          <w:i w:val="1"/>
          <w:iCs w:val="1"/>
          <w:color w:val="auto"/>
        </w:rPr>
        <w:t>The Company adjusted Fiscal 2024 to exclude the impact of the 53</w:t>
      </w:r>
      <w:r>
        <w:rPr>
          <w:rFonts w:ascii="Times New Roman" w:cs="Times New Roman" w:eastAsia="Times New Roman" w:hAnsi="Times New Roman"/>
          <w:sz w:val="35"/>
          <w:szCs w:val="35"/>
          <w:i w:val="1"/>
          <w:iCs w:val="1"/>
          <w:color w:val="auto"/>
          <w:vertAlign w:val="superscript"/>
        </w:rPr>
        <w:t>rd</w:t>
      </w:r>
      <w:r>
        <w:rPr>
          <w:rFonts w:ascii="Times New Roman" w:cs="Times New Roman" w:eastAsia="Times New Roman" w:hAnsi="Times New Roman"/>
          <w:sz w:val="22"/>
          <w:szCs w:val="22"/>
          <w:i w:val="1"/>
          <w:iCs w:val="1"/>
          <w:color w:val="auto"/>
        </w:rPr>
        <w:t xml:space="preserve"> week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Selected Balance Sheet Information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thousands)</w:t>
      </w:r>
    </w:p>
    <w:p>
      <w:pPr>
        <w:spacing w:after="0" w:line="17" w:lineRule="exact"/>
        <w:rPr>
          <w:sz w:val="20"/>
          <w:szCs w:val="20"/>
          <w:color w:val="auto"/>
        </w:rPr>
      </w:pPr>
    </w:p>
    <w:p>
      <w:pPr>
        <w:ind w:left="7580"/>
        <w:spacing w:after="0"/>
        <w:tabs>
          <w:tab w:leader="none" w:pos="9560" w:val="left"/>
        </w:tabs>
        <w:rPr>
          <w:sz w:val="20"/>
          <w:szCs w:val="20"/>
          <w:color w:val="auto"/>
        </w:rPr>
      </w:pPr>
      <w:r>
        <w:rPr>
          <w:rFonts w:ascii="Times New Roman" w:cs="Times New Roman" w:eastAsia="Times New Roman" w:hAnsi="Times New Roman"/>
          <w:sz w:val="22"/>
          <w:szCs w:val="22"/>
          <w:b w:val="1"/>
          <w:bCs w:val="1"/>
          <w:color w:val="auto"/>
        </w:rPr>
        <w:t>August 30, 2025</w:t>
      </w:r>
      <w:r>
        <w:rPr>
          <w:sz w:val="20"/>
          <w:szCs w:val="20"/>
          <w:color w:val="auto"/>
        </w:rPr>
        <w:tab/>
      </w:r>
      <w:r>
        <w:rPr>
          <w:rFonts w:ascii="Times New Roman" w:cs="Times New Roman" w:eastAsia="Times New Roman" w:hAnsi="Times New Roman"/>
          <w:sz w:val="21"/>
          <w:szCs w:val="21"/>
          <w:b w:val="1"/>
          <w:bCs w:val="1"/>
          <w:color w:val="auto"/>
        </w:rPr>
        <w:t>August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4707255</wp:posOffset>
            </wp:positionH>
            <wp:positionV relativeFrom="paragraph">
              <wp:posOffset>12065</wp:posOffset>
            </wp:positionV>
            <wp:extent cx="24174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ectPr>
          <w:pgSz w:w="11900" w:h="16838" w:orient="portrait"/>
          <w:cols w:equalWidth="0" w:num="1">
            <w:col w:w="11220"/>
          </w:cols>
          <w:pgMar w:left="340" w:top="111" w:right="339"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71"/>
        </w:trPr>
        <w:tc>
          <w:tcPr>
            <w:tcW w:w="5700" w:type="dxa"/>
            <w:vAlign w:val="bottom"/>
          </w:tcPr>
          <w:p>
            <w:pPr>
              <w:spacing w:after="0"/>
              <w:rPr>
                <w:sz w:val="20"/>
                <w:szCs w:val="20"/>
                <w:color w:val="auto"/>
              </w:rPr>
            </w:pPr>
            <w:r>
              <w:rPr>
                <w:rFonts w:ascii="Times New Roman" w:cs="Times New Roman" w:eastAsia="Times New Roman" w:hAnsi="Times New Roman"/>
                <w:sz w:val="22"/>
                <w:szCs w:val="22"/>
                <w:color w:val="auto"/>
              </w:rPr>
              <w:t>Cash and cash equivalents</w:t>
            </w:r>
          </w:p>
        </w:tc>
        <w:tc>
          <w:tcPr>
            <w:tcW w:w="21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14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271,803</w:t>
            </w:r>
          </w:p>
        </w:tc>
        <w:tc>
          <w:tcPr>
            <w:tcW w:w="5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298,172</w:t>
            </w:r>
          </w:p>
        </w:tc>
      </w:tr>
      <w:tr>
        <w:trPr>
          <w:trHeight w:val="270"/>
        </w:trPr>
        <w:tc>
          <w:tcPr>
            <w:tcW w:w="5700" w:type="dxa"/>
            <w:vAlign w:val="bottom"/>
          </w:tcPr>
          <w:p>
            <w:pPr>
              <w:spacing w:after="0"/>
              <w:rPr>
                <w:sz w:val="20"/>
                <w:szCs w:val="20"/>
                <w:color w:val="auto"/>
              </w:rPr>
            </w:pPr>
            <w:r>
              <w:rPr>
                <w:rFonts w:ascii="Times New Roman" w:cs="Times New Roman" w:eastAsia="Times New Roman" w:hAnsi="Times New Roman"/>
                <w:sz w:val="22"/>
                <w:szCs w:val="22"/>
                <w:color w:val="auto"/>
              </w:rPr>
              <w:t>Merchandise inventories</w:t>
            </w:r>
          </w:p>
        </w:tc>
        <w:tc>
          <w:tcPr>
            <w:tcW w:w="2140" w:type="dxa"/>
            <w:vAlign w:val="bottom"/>
          </w:tcPr>
          <w:p>
            <w:pPr>
              <w:spacing w:after="0"/>
              <w:rPr>
                <w:sz w:val="23"/>
                <w:szCs w:val="23"/>
                <w:color w:val="auto"/>
              </w:rPr>
            </w:pPr>
          </w:p>
        </w:tc>
        <w:tc>
          <w:tcPr>
            <w:tcW w:w="14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7,025,688</w:t>
            </w:r>
          </w:p>
        </w:tc>
        <w:tc>
          <w:tcPr>
            <w:tcW w:w="5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6,155,218</w:t>
            </w:r>
          </w:p>
        </w:tc>
      </w:tr>
      <w:tr>
        <w:trPr>
          <w:trHeight w:val="270"/>
        </w:trPr>
        <w:tc>
          <w:tcPr>
            <w:tcW w:w="5700" w:type="dxa"/>
            <w:vAlign w:val="bottom"/>
          </w:tcPr>
          <w:p>
            <w:pPr>
              <w:spacing w:after="0"/>
              <w:rPr>
                <w:sz w:val="20"/>
                <w:szCs w:val="20"/>
                <w:color w:val="auto"/>
              </w:rPr>
            </w:pPr>
            <w:r>
              <w:rPr>
                <w:rFonts w:ascii="Times New Roman" w:cs="Times New Roman" w:eastAsia="Times New Roman" w:hAnsi="Times New Roman"/>
                <w:sz w:val="22"/>
                <w:szCs w:val="22"/>
                <w:color w:val="auto"/>
              </w:rPr>
              <w:t>Total current assets</w:t>
            </w:r>
          </w:p>
        </w:tc>
        <w:tc>
          <w:tcPr>
            <w:tcW w:w="2140" w:type="dxa"/>
            <w:vAlign w:val="bottom"/>
          </w:tcPr>
          <w:p>
            <w:pPr>
              <w:spacing w:after="0"/>
              <w:rPr>
                <w:sz w:val="23"/>
                <w:szCs w:val="23"/>
                <w:color w:val="auto"/>
              </w:rPr>
            </w:pPr>
          </w:p>
        </w:tc>
        <w:tc>
          <w:tcPr>
            <w:tcW w:w="14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8,341,379</w:t>
            </w:r>
          </w:p>
        </w:tc>
        <w:tc>
          <w:tcPr>
            <w:tcW w:w="5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7,306,759</w:t>
            </w:r>
          </w:p>
        </w:tc>
      </w:tr>
      <w:tr>
        <w:trPr>
          <w:trHeight w:val="270"/>
        </w:trPr>
        <w:tc>
          <w:tcPr>
            <w:tcW w:w="5700" w:type="dxa"/>
            <w:vAlign w:val="bottom"/>
          </w:tcPr>
          <w:p>
            <w:pPr>
              <w:spacing w:after="0"/>
              <w:rPr>
                <w:sz w:val="20"/>
                <w:szCs w:val="20"/>
                <w:color w:val="auto"/>
              </w:rPr>
            </w:pPr>
            <w:r>
              <w:rPr>
                <w:rFonts w:ascii="Times New Roman" w:cs="Times New Roman" w:eastAsia="Times New Roman" w:hAnsi="Times New Roman"/>
                <w:sz w:val="22"/>
                <w:szCs w:val="22"/>
                <w:color w:val="auto"/>
              </w:rPr>
              <w:t>Property and equipment, net</w:t>
            </w:r>
          </w:p>
        </w:tc>
        <w:tc>
          <w:tcPr>
            <w:tcW w:w="2140" w:type="dxa"/>
            <w:vAlign w:val="bottom"/>
          </w:tcPr>
          <w:p>
            <w:pPr>
              <w:spacing w:after="0"/>
              <w:rPr>
                <w:sz w:val="23"/>
                <w:szCs w:val="23"/>
                <w:color w:val="auto"/>
              </w:rPr>
            </w:pPr>
          </w:p>
        </w:tc>
        <w:tc>
          <w:tcPr>
            <w:tcW w:w="14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7,062,509</w:t>
            </w:r>
          </w:p>
        </w:tc>
        <w:tc>
          <w:tcPr>
            <w:tcW w:w="5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6,183,539</w:t>
            </w:r>
          </w:p>
        </w:tc>
      </w:tr>
      <w:tr>
        <w:trPr>
          <w:trHeight w:val="270"/>
        </w:trPr>
        <w:tc>
          <w:tcPr>
            <w:tcW w:w="5700" w:type="dxa"/>
            <w:vAlign w:val="bottom"/>
          </w:tcPr>
          <w:p>
            <w:pPr>
              <w:spacing w:after="0"/>
              <w:rPr>
                <w:sz w:val="20"/>
                <w:szCs w:val="20"/>
                <w:color w:val="auto"/>
              </w:rPr>
            </w:pPr>
            <w:r>
              <w:rPr>
                <w:rFonts w:ascii="Times New Roman" w:cs="Times New Roman" w:eastAsia="Times New Roman" w:hAnsi="Times New Roman"/>
                <w:sz w:val="22"/>
                <w:szCs w:val="22"/>
                <w:color w:val="auto"/>
              </w:rPr>
              <w:t>Operating lease right-of-use assets</w:t>
            </w:r>
          </w:p>
        </w:tc>
        <w:tc>
          <w:tcPr>
            <w:tcW w:w="2140" w:type="dxa"/>
            <w:vAlign w:val="bottom"/>
          </w:tcPr>
          <w:p>
            <w:pPr>
              <w:spacing w:after="0"/>
              <w:rPr>
                <w:sz w:val="23"/>
                <w:szCs w:val="23"/>
                <w:color w:val="auto"/>
              </w:rPr>
            </w:pPr>
          </w:p>
        </w:tc>
        <w:tc>
          <w:tcPr>
            <w:tcW w:w="14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3,194,666</w:t>
            </w:r>
          </w:p>
        </w:tc>
        <w:tc>
          <w:tcPr>
            <w:tcW w:w="5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3,057,780</w:t>
            </w:r>
          </w:p>
        </w:tc>
      </w:tr>
      <w:tr>
        <w:trPr>
          <w:trHeight w:val="270"/>
        </w:trPr>
        <w:tc>
          <w:tcPr>
            <w:tcW w:w="5700" w:type="dxa"/>
            <w:vAlign w:val="bottom"/>
          </w:tcPr>
          <w:p>
            <w:pPr>
              <w:spacing w:after="0"/>
              <w:rPr>
                <w:sz w:val="20"/>
                <w:szCs w:val="20"/>
                <w:color w:val="auto"/>
              </w:rPr>
            </w:pPr>
            <w:r>
              <w:rPr>
                <w:rFonts w:ascii="Times New Roman" w:cs="Times New Roman" w:eastAsia="Times New Roman" w:hAnsi="Times New Roman"/>
                <w:sz w:val="22"/>
                <w:szCs w:val="22"/>
                <w:color w:val="auto"/>
              </w:rPr>
              <w:t>Total assets</w:t>
            </w:r>
          </w:p>
        </w:tc>
        <w:tc>
          <w:tcPr>
            <w:tcW w:w="2140" w:type="dxa"/>
            <w:vAlign w:val="bottom"/>
          </w:tcPr>
          <w:p>
            <w:pPr>
              <w:spacing w:after="0"/>
              <w:rPr>
                <w:sz w:val="23"/>
                <w:szCs w:val="23"/>
                <w:color w:val="auto"/>
              </w:rPr>
            </w:pPr>
          </w:p>
        </w:tc>
        <w:tc>
          <w:tcPr>
            <w:tcW w:w="14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19,355,324</w:t>
            </w:r>
          </w:p>
        </w:tc>
        <w:tc>
          <w:tcPr>
            <w:tcW w:w="5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17,176,538</w:t>
            </w:r>
          </w:p>
        </w:tc>
      </w:tr>
      <w:tr>
        <w:trPr>
          <w:trHeight w:val="270"/>
        </w:trPr>
        <w:tc>
          <w:tcPr>
            <w:tcW w:w="5700" w:type="dxa"/>
            <w:vAlign w:val="bottom"/>
          </w:tcPr>
          <w:p>
            <w:pPr>
              <w:spacing w:after="0"/>
              <w:rPr>
                <w:sz w:val="20"/>
                <w:szCs w:val="20"/>
                <w:color w:val="auto"/>
              </w:rPr>
            </w:pPr>
            <w:r>
              <w:rPr>
                <w:rFonts w:ascii="Times New Roman" w:cs="Times New Roman" w:eastAsia="Times New Roman" w:hAnsi="Times New Roman"/>
                <w:sz w:val="22"/>
                <w:szCs w:val="22"/>
                <w:color w:val="auto"/>
              </w:rPr>
              <w:t>Accounts payable</w:t>
            </w:r>
          </w:p>
        </w:tc>
        <w:tc>
          <w:tcPr>
            <w:tcW w:w="2140" w:type="dxa"/>
            <w:vAlign w:val="bottom"/>
          </w:tcPr>
          <w:p>
            <w:pPr>
              <w:spacing w:after="0"/>
              <w:rPr>
                <w:sz w:val="23"/>
                <w:szCs w:val="23"/>
                <w:color w:val="auto"/>
              </w:rPr>
            </w:pPr>
          </w:p>
        </w:tc>
        <w:tc>
          <w:tcPr>
            <w:tcW w:w="14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8,025,590</w:t>
            </w:r>
          </w:p>
        </w:tc>
        <w:tc>
          <w:tcPr>
            <w:tcW w:w="5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7,355,701</w:t>
            </w:r>
          </w:p>
        </w:tc>
      </w:tr>
      <w:tr>
        <w:trPr>
          <w:trHeight w:val="270"/>
        </w:trPr>
        <w:tc>
          <w:tcPr>
            <w:tcW w:w="5700" w:type="dxa"/>
            <w:vAlign w:val="bottom"/>
          </w:tcPr>
          <w:p>
            <w:pPr>
              <w:spacing w:after="0"/>
              <w:rPr>
                <w:sz w:val="20"/>
                <w:szCs w:val="20"/>
                <w:color w:val="auto"/>
              </w:rPr>
            </w:pPr>
            <w:r>
              <w:rPr>
                <w:rFonts w:ascii="Times New Roman" w:cs="Times New Roman" w:eastAsia="Times New Roman" w:hAnsi="Times New Roman"/>
                <w:sz w:val="22"/>
                <w:szCs w:val="22"/>
                <w:color w:val="auto"/>
              </w:rPr>
              <w:t>Total current liabilities</w:t>
            </w:r>
          </w:p>
        </w:tc>
        <w:tc>
          <w:tcPr>
            <w:tcW w:w="2140" w:type="dxa"/>
            <w:vAlign w:val="bottom"/>
          </w:tcPr>
          <w:p>
            <w:pPr>
              <w:spacing w:after="0"/>
              <w:rPr>
                <w:sz w:val="23"/>
                <w:szCs w:val="23"/>
                <w:color w:val="auto"/>
              </w:rPr>
            </w:pPr>
          </w:p>
        </w:tc>
        <w:tc>
          <w:tcPr>
            <w:tcW w:w="14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9,519,397</w:t>
            </w:r>
          </w:p>
        </w:tc>
        <w:tc>
          <w:tcPr>
            <w:tcW w:w="5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8,714,243</w:t>
            </w:r>
          </w:p>
        </w:tc>
      </w:tr>
      <w:tr>
        <w:trPr>
          <w:trHeight w:val="270"/>
        </w:trPr>
        <w:tc>
          <w:tcPr>
            <w:tcW w:w="5700" w:type="dxa"/>
            <w:vAlign w:val="bottom"/>
          </w:tcPr>
          <w:p>
            <w:pPr>
              <w:spacing w:after="0"/>
              <w:rPr>
                <w:sz w:val="20"/>
                <w:szCs w:val="20"/>
                <w:color w:val="auto"/>
              </w:rPr>
            </w:pPr>
            <w:r>
              <w:rPr>
                <w:rFonts w:ascii="Times New Roman" w:cs="Times New Roman" w:eastAsia="Times New Roman" w:hAnsi="Times New Roman"/>
                <w:sz w:val="22"/>
                <w:szCs w:val="22"/>
                <w:color w:val="auto"/>
              </w:rPr>
              <w:t>Operating lease liabilities, less current portion</w:t>
            </w:r>
          </w:p>
        </w:tc>
        <w:tc>
          <w:tcPr>
            <w:tcW w:w="2140" w:type="dxa"/>
            <w:vAlign w:val="bottom"/>
          </w:tcPr>
          <w:p>
            <w:pPr>
              <w:spacing w:after="0"/>
              <w:rPr>
                <w:sz w:val="23"/>
                <w:szCs w:val="23"/>
                <w:color w:val="auto"/>
              </w:rPr>
            </w:pPr>
          </w:p>
        </w:tc>
        <w:tc>
          <w:tcPr>
            <w:tcW w:w="14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3,093,936</w:t>
            </w:r>
          </w:p>
        </w:tc>
        <w:tc>
          <w:tcPr>
            <w:tcW w:w="5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2,960,174</w:t>
            </w:r>
          </w:p>
        </w:tc>
      </w:tr>
      <w:tr>
        <w:trPr>
          <w:trHeight w:val="270"/>
        </w:trPr>
        <w:tc>
          <w:tcPr>
            <w:tcW w:w="5700" w:type="dxa"/>
            <w:vAlign w:val="bottom"/>
          </w:tcPr>
          <w:p>
            <w:pPr>
              <w:spacing w:after="0"/>
              <w:rPr>
                <w:sz w:val="20"/>
                <w:szCs w:val="20"/>
                <w:color w:val="auto"/>
              </w:rPr>
            </w:pPr>
            <w:r>
              <w:rPr>
                <w:rFonts w:ascii="Times New Roman" w:cs="Times New Roman" w:eastAsia="Times New Roman" w:hAnsi="Times New Roman"/>
                <w:sz w:val="22"/>
                <w:szCs w:val="22"/>
                <w:color w:val="auto"/>
              </w:rPr>
              <w:t>Total debt</w:t>
            </w:r>
          </w:p>
        </w:tc>
        <w:tc>
          <w:tcPr>
            <w:tcW w:w="2140" w:type="dxa"/>
            <w:vAlign w:val="bottom"/>
          </w:tcPr>
          <w:p>
            <w:pPr>
              <w:spacing w:after="0"/>
              <w:rPr>
                <w:sz w:val="23"/>
                <w:szCs w:val="23"/>
                <w:color w:val="auto"/>
              </w:rPr>
            </w:pPr>
          </w:p>
        </w:tc>
        <w:tc>
          <w:tcPr>
            <w:tcW w:w="14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8,799,775</w:t>
            </w:r>
          </w:p>
        </w:tc>
        <w:tc>
          <w:tcPr>
            <w:tcW w:w="5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9,024,381</w:t>
            </w:r>
          </w:p>
        </w:tc>
      </w:tr>
      <w:tr>
        <w:trPr>
          <w:trHeight w:val="270"/>
        </w:trPr>
        <w:tc>
          <w:tcPr>
            <w:tcW w:w="5700" w:type="dxa"/>
            <w:vAlign w:val="bottom"/>
          </w:tcPr>
          <w:p>
            <w:pPr>
              <w:spacing w:after="0"/>
              <w:rPr>
                <w:sz w:val="20"/>
                <w:szCs w:val="20"/>
                <w:color w:val="auto"/>
              </w:rPr>
            </w:pPr>
            <w:r>
              <w:rPr>
                <w:rFonts w:ascii="Times New Roman" w:cs="Times New Roman" w:eastAsia="Times New Roman" w:hAnsi="Times New Roman"/>
                <w:sz w:val="22"/>
                <w:szCs w:val="22"/>
                <w:color w:val="auto"/>
              </w:rPr>
              <w:t>Stockholders' deficit</w:t>
            </w:r>
          </w:p>
        </w:tc>
        <w:tc>
          <w:tcPr>
            <w:tcW w:w="2140" w:type="dxa"/>
            <w:vAlign w:val="bottom"/>
          </w:tcPr>
          <w:p>
            <w:pPr>
              <w:spacing w:after="0"/>
              <w:rPr>
                <w:sz w:val="23"/>
                <w:szCs w:val="23"/>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(3,414,313)</w:t>
            </w:r>
          </w:p>
        </w:tc>
        <w:tc>
          <w:tcPr>
            <w:tcW w:w="5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(4,749,614)</w:t>
            </w:r>
          </w:p>
        </w:tc>
      </w:tr>
      <w:tr>
        <w:trPr>
          <w:trHeight w:val="282"/>
        </w:trPr>
        <w:tc>
          <w:tcPr>
            <w:tcW w:w="5700" w:type="dxa"/>
            <w:vAlign w:val="bottom"/>
          </w:tcPr>
          <w:p>
            <w:pPr>
              <w:spacing w:after="0"/>
              <w:rPr>
                <w:sz w:val="20"/>
                <w:szCs w:val="20"/>
                <w:color w:val="auto"/>
              </w:rPr>
            </w:pPr>
            <w:r>
              <w:rPr>
                <w:rFonts w:ascii="Times New Roman" w:cs="Times New Roman" w:eastAsia="Times New Roman" w:hAnsi="Times New Roman"/>
                <w:sz w:val="22"/>
                <w:szCs w:val="22"/>
                <w:color w:val="auto"/>
              </w:rPr>
              <w:t>Working capital</w:t>
            </w:r>
          </w:p>
        </w:tc>
        <w:tc>
          <w:tcPr>
            <w:tcW w:w="2140" w:type="dxa"/>
            <w:vAlign w:val="bottom"/>
          </w:tcPr>
          <w:p>
            <w:pPr>
              <w:spacing w:after="0"/>
              <w:rPr>
                <w:sz w:val="24"/>
                <w:szCs w:val="24"/>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(1,178,018)</w:t>
            </w:r>
          </w:p>
        </w:tc>
        <w:tc>
          <w:tcPr>
            <w:tcW w:w="5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(1,407,484)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28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AutoZone's 4th Quarter Highlights - Fiscal 2025</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28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Operations</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8"/>
        </w:trPr>
        <w:tc>
          <w:tcPr>
            <w:tcW w:w="2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7"/>
              </w:rPr>
              <w:t>Adjusted Debt / EBITDAR</w:t>
            </w:r>
          </w:p>
        </w:tc>
        <w:tc>
          <w:tcPr>
            <w:tcW w:w="278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(in thousands, except adjusted debt to EBITDAR ratio)</w:t>
            </w:r>
          </w:p>
        </w:tc>
        <w:tc>
          <w:tcPr>
            <w:tcW w:w="260" w:type="dxa"/>
            <w:vAlign w:val="bottom"/>
          </w:tcPr>
          <w:p>
            <w:pPr>
              <w:spacing w:after="0"/>
              <w:rPr>
                <w:sz w:val="24"/>
                <w:szCs w:val="24"/>
                <w:color w:val="auto"/>
              </w:rPr>
            </w:pPr>
          </w:p>
        </w:tc>
        <w:tc>
          <w:tcPr>
            <w:tcW w:w="13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22"/>
                <w:szCs w:val="22"/>
                <w:b w:val="1"/>
                <w:bCs w:val="1"/>
                <w:color w:val="auto"/>
                <w:w w:val="97"/>
              </w:rPr>
              <w:t>52 Weeks</w:t>
            </w:r>
          </w:p>
        </w:tc>
        <w:tc>
          <w:tcPr>
            <w:tcW w:w="260" w:type="dxa"/>
            <w:vAlign w:val="bottom"/>
          </w:tcPr>
          <w:p>
            <w:pPr>
              <w:spacing w:after="0"/>
              <w:rPr>
                <w:sz w:val="24"/>
                <w:szCs w:val="24"/>
                <w:color w:val="auto"/>
              </w:rPr>
            </w:pPr>
          </w:p>
        </w:tc>
        <w:tc>
          <w:tcPr>
            <w:tcW w:w="1260" w:type="dxa"/>
            <w:vAlign w:val="bottom"/>
            <w:vMerge w:val="restart"/>
          </w:tcPr>
          <w:p>
            <w:pPr>
              <w:jc w:val="center"/>
              <w:ind w:right="152"/>
              <w:spacing w:after="0"/>
              <w:rPr>
                <w:sz w:val="20"/>
                <w:szCs w:val="20"/>
                <w:color w:val="auto"/>
              </w:rPr>
            </w:pPr>
            <w:r>
              <w:rPr>
                <w:rFonts w:ascii="Times New Roman" w:cs="Times New Roman" w:eastAsia="Times New Roman" w:hAnsi="Times New Roman"/>
                <w:sz w:val="22"/>
                <w:szCs w:val="22"/>
                <w:b w:val="1"/>
                <w:bCs w:val="1"/>
                <w:color w:val="auto"/>
                <w:w w:val="97"/>
              </w:rPr>
              <w:t>53 Weeks</w:t>
            </w:r>
          </w:p>
        </w:tc>
        <w:tc>
          <w:tcPr>
            <w:tcW w:w="0" w:type="dxa"/>
            <w:vAlign w:val="bottom"/>
          </w:tcPr>
          <w:p>
            <w:pPr>
              <w:spacing w:after="0"/>
              <w:rPr>
                <w:sz w:val="1"/>
                <w:szCs w:val="1"/>
                <w:color w:val="auto"/>
              </w:rPr>
            </w:pPr>
          </w:p>
        </w:tc>
      </w:tr>
      <w:tr>
        <w:trPr>
          <w:trHeight w:val="227"/>
        </w:trPr>
        <w:tc>
          <w:tcPr>
            <w:tcW w:w="25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5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22"/>
                <w:szCs w:val="22"/>
                <w:b w:val="1"/>
                <w:bCs w:val="1"/>
                <w:color w:val="auto"/>
                <w:w w:val="98"/>
              </w:rPr>
              <w:t>Ended</w:t>
            </w:r>
          </w:p>
        </w:tc>
        <w:tc>
          <w:tcPr>
            <w:tcW w:w="260" w:type="dxa"/>
            <w:vAlign w:val="bottom"/>
          </w:tcPr>
          <w:p>
            <w:pPr>
              <w:spacing w:after="0"/>
              <w:rPr>
                <w:sz w:val="23"/>
                <w:szCs w:val="23"/>
                <w:color w:val="auto"/>
              </w:rPr>
            </w:pPr>
          </w:p>
        </w:tc>
        <w:tc>
          <w:tcPr>
            <w:tcW w:w="1260" w:type="dxa"/>
            <w:vAlign w:val="bottom"/>
          </w:tcPr>
          <w:p>
            <w:pPr>
              <w:jc w:val="center"/>
              <w:ind w:right="152"/>
              <w:spacing w:after="0"/>
              <w:rPr>
                <w:sz w:val="20"/>
                <w:szCs w:val="20"/>
                <w:color w:val="auto"/>
              </w:rPr>
            </w:pPr>
            <w:r>
              <w:rPr>
                <w:rFonts w:ascii="Times New Roman" w:cs="Times New Roman" w:eastAsia="Times New Roman" w:hAnsi="Times New Roman"/>
                <w:sz w:val="22"/>
                <w:szCs w:val="22"/>
                <w:b w:val="1"/>
                <w:bCs w:val="1"/>
                <w:color w:val="auto"/>
                <w:w w:val="98"/>
              </w:rPr>
              <w:t>Ended</w:t>
            </w:r>
          </w:p>
        </w:tc>
        <w:tc>
          <w:tcPr>
            <w:tcW w:w="0" w:type="dxa"/>
            <w:vAlign w:val="bottom"/>
          </w:tcPr>
          <w:p>
            <w:pPr>
              <w:spacing w:after="0"/>
              <w:rPr>
                <w:sz w:val="1"/>
                <w:szCs w:val="1"/>
                <w:color w:val="auto"/>
              </w:rPr>
            </w:pPr>
          </w:p>
        </w:tc>
      </w:tr>
      <w:tr>
        <w:trPr>
          <w:trHeight w:val="286"/>
        </w:trPr>
        <w:tc>
          <w:tcPr>
            <w:tcW w:w="2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40" w:type="dxa"/>
            <w:vAlign w:val="bottom"/>
            <w:gridSpan w:val="3"/>
          </w:tcPr>
          <w:p>
            <w:pPr>
              <w:jc w:val="center"/>
              <w:ind w:right="120"/>
              <w:spacing w:after="0"/>
              <w:rPr>
                <w:sz w:val="20"/>
                <w:szCs w:val="20"/>
                <w:color w:val="auto"/>
              </w:rPr>
            </w:pPr>
            <w:r>
              <w:rPr>
                <w:rFonts w:ascii="Times New Roman" w:cs="Times New Roman" w:eastAsia="Times New Roman" w:hAnsi="Times New Roman"/>
                <w:sz w:val="22"/>
                <w:szCs w:val="22"/>
                <w:b w:val="1"/>
                <w:bCs w:val="1"/>
                <w:color w:val="auto"/>
                <w:w w:val="98"/>
              </w:rPr>
              <w:t>August 30, 2025</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August 31, 2024</w:t>
            </w:r>
          </w:p>
        </w:tc>
        <w:tc>
          <w:tcPr>
            <w:tcW w:w="0" w:type="dxa"/>
            <w:vAlign w:val="bottom"/>
          </w:tcPr>
          <w:p>
            <w:pPr>
              <w:spacing w:after="0"/>
              <w:rPr>
                <w:sz w:val="1"/>
                <w:szCs w:val="1"/>
                <w:color w:val="auto"/>
              </w:rPr>
            </w:pPr>
          </w:p>
        </w:tc>
      </w:tr>
      <w:tr>
        <w:trPr>
          <w:trHeight w:val="251"/>
        </w:trPr>
        <w:tc>
          <w:tcPr>
            <w:tcW w:w="5280" w:type="dxa"/>
            <w:vAlign w:val="bottom"/>
            <w:gridSpan w:val="3"/>
          </w:tcPr>
          <w:p>
            <w:pPr>
              <w:spacing w:after="0" w:line="251" w:lineRule="exact"/>
              <w:rPr>
                <w:sz w:val="20"/>
                <w:szCs w:val="20"/>
                <w:color w:val="auto"/>
              </w:rPr>
            </w:pPr>
            <w:r>
              <w:rPr>
                <w:rFonts w:ascii="Times New Roman" w:cs="Times New Roman" w:eastAsia="Times New Roman" w:hAnsi="Times New Roman"/>
                <w:sz w:val="22"/>
                <w:szCs w:val="22"/>
                <w:color w:val="auto"/>
              </w:rPr>
              <w:t>Net income</w:t>
            </w:r>
          </w:p>
        </w:tc>
        <w:tc>
          <w:tcPr>
            <w:tcW w:w="26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w:t>
            </w:r>
          </w:p>
        </w:tc>
        <w:tc>
          <w:tcPr>
            <w:tcW w:w="126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2,498,247</w:t>
            </w:r>
          </w:p>
        </w:tc>
        <w:tc>
          <w:tcPr>
            <w:tcW w:w="120" w:type="dxa"/>
            <w:vAlign w:val="bottom"/>
          </w:tcPr>
          <w:p>
            <w:pPr>
              <w:spacing w:after="0"/>
              <w:rPr>
                <w:sz w:val="21"/>
                <w:szCs w:val="21"/>
                <w:color w:val="auto"/>
              </w:rPr>
            </w:pPr>
          </w:p>
        </w:tc>
        <w:tc>
          <w:tcPr>
            <w:tcW w:w="26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w:t>
            </w:r>
          </w:p>
        </w:tc>
        <w:tc>
          <w:tcPr>
            <w:tcW w:w="126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2,662,427</w:t>
            </w:r>
          </w:p>
        </w:tc>
        <w:tc>
          <w:tcPr>
            <w:tcW w:w="0" w:type="dxa"/>
            <w:vAlign w:val="bottom"/>
          </w:tcPr>
          <w:p>
            <w:pPr>
              <w:spacing w:after="0"/>
              <w:rPr>
                <w:sz w:val="1"/>
                <w:szCs w:val="1"/>
                <w:color w:val="auto"/>
              </w:rPr>
            </w:pPr>
          </w:p>
        </w:tc>
      </w:tr>
      <w:tr>
        <w:trPr>
          <w:trHeight w:val="270"/>
        </w:trPr>
        <w:tc>
          <w:tcPr>
            <w:tcW w:w="5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Add: Interest expense</w:t>
            </w:r>
          </w:p>
        </w:tc>
        <w:tc>
          <w:tcPr>
            <w:tcW w:w="2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475,824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451,578</w:t>
            </w:r>
          </w:p>
        </w:tc>
        <w:tc>
          <w:tcPr>
            <w:tcW w:w="0" w:type="dxa"/>
            <w:vAlign w:val="bottom"/>
          </w:tcPr>
          <w:p>
            <w:pPr>
              <w:spacing w:after="0"/>
              <w:rPr>
                <w:sz w:val="1"/>
                <w:szCs w:val="1"/>
                <w:color w:val="auto"/>
              </w:rPr>
            </w:pPr>
          </w:p>
        </w:tc>
      </w:tr>
      <w:tr>
        <w:trPr>
          <w:trHeight w:val="282"/>
        </w:trPr>
        <w:tc>
          <w:tcPr>
            <w:tcW w:w="528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Income tax expense</w:t>
            </w: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636,085</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674,703</w:t>
            </w:r>
          </w:p>
        </w:tc>
        <w:tc>
          <w:tcPr>
            <w:tcW w:w="0" w:type="dxa"/>
            <w:vAlign w:val="bottom"/>
          </w:tcPr>
          <w:p>
            <w:pPr>
              <w:spacing w:after="0"/>
              <w:rPr>
                <w:sz w:val="1"/>
                <w:szCs w:val="1"/>
                <w:color w:val="auto"/>
              </w:rPr>
            </w:pPr>
          </w:p>
        </w:tc>
      </w:tr>
      <w:tr>
        <w:trPr>
          <w:trHeight w:val="277"/>
        </w:trPr>
        <w:tc>
          <w:tcPr>
            <w:tcW w:w="5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EBIT</w:t>
            </w: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3,610,156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3,788,708</w:t>
            </w:r>
          </w:p>
        </w:tc>
        <w:tc>
          <w:tcPr>
            <w:tcW w:w="0" w:type="dxa"/>
            <w:vAlign w:val="bottom"/>
          </w:tcPr>
          <w:p>
            <w:pPr>
              <w:spacing w:after="0"/>
              <w:rPr>
                <w:sz w:val="1"/>
                <w:szCs w:val="1"/>
                <w:color w:val="auto"/>
              </w:rPr>
            </w:pPr>
          </w:p>
        </w:tc>
      </w:tr>
      <w:tr>
        <w:trPr>
          <w:trHeight w:val="523"/>
        </w:trPr>
        <w:tc>
          <w:tcPr>
            <w:tcW w:w="5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Add: Depreciation and amortization</w:t>
            </w: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613,199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549,755</w:t>
            </w:r>
          </w:p>
        </w:tc>
        <w:tc>
          <w:tcPr>
            <w:tcW w:w="0" w:type="dxa"/>
            <w:vAlign w:val="bottom"/>
          </w:tcPr>
          <w:p>
            <w:pPr>
              <w:spacing w:after="0"/>
              <w:rPr>
                <w:sz w:val="1"/>
                <w:szCs w:val="1"/>
                <w:color w:val="auto"/>
              </w:rPr>
            </w:pPr>
          </w:p>
        </w:tc>
      </w:tr>
      <w:tr>
        <w:trPr>
          <w:trHeight w:val="315"/>
        </w:trPr>
        <w:tc>
          <w:tcPr>
            <w:tcW w:w="5280" w:type="dxa"/>
            <w:vAlign w:val="bottom"/>
            <w:gridSpan w:val="3"/>
          </w:tcPr>
          <w:p>
            <w:pPr>
              <w:ind w:left="200"/>
              <w:spacing w:after="0" w:line="314" w:lineRule="exact"/>
              <w:rPr>
                <w:sz w:val="20"/>
                <w:szCs w:val="20"/>
                <w:color w:val="auto"/>
              </w:rPr>
            </w:pPr>
            <w:r>
              <w:rPr>
                <w:rFonts w:ascii="Times New Roman" w:cs="Times New Roman" w:eastAsia="Times New Roman" w:hAnsi="Times New Roman"/>
                <w:sz w:val="22"/>
                <w:szCs w:val="22"/>
                <w:color w:val="auto"/>
              </w:rPr>
              <w:t xml:space="preserve">Rent expense </w:t>
            </w:r>
            <w:r>
              <w:rPr>
                <w:rFonts w:ascii="Times New Roman" w:cs="Times New Roman" w:eastAsia="Times New Roman" w:hAnsi="Times New Roman"/>
                <w:sz w:val="35"/>
                <w:szCs w:val="35"/>
                <w:color w:val="auto"/>
                <w:vertAlign w:val="superscript"/>
              </w:rPr>
              <w:t>(1)</w:t>
            </w: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463,031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447,693</w:t>
            </w:r>
          </w:p>
        </w:tc>
        <w:tc>
          <w:tcPr>
            <w:tcW w:w="0" w:type="dxa"/>
            <w:vAlign w:val="bottom"/>
          </w:tcPr>
          <w:p>
            <w:pPr>
              <w:spacing w:after="0"/>
              <w:rPr>
                <w:sz w:val="1"/>
                <w:szCs w:val="1"/>
                <w:color w:val="auto"/>
              </w:rPr>
            </w:pPr>
          </w:p>
        </w:tc>
      </w:tr>
      <w:tr>
        <w:trPr>
          <w:trHeight w:val="283"/>
        </w:trPr>
        <w:tc>
          <w:tcPr>
            <w:tcW w:w="528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Share-based expense</w:t>
            </w: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124,717</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106,246</w:t>
            </w:r>
          </w:p>
        </w:tc>
        <w:tc>
          <w:tcPr>
            <w:tcW w:w="0" w:type="dxa"/>
            <w:vAlign w:val="bottom"/>
          </w:tcPr>
          <w:p>
            <w:pPr>
              <w:spacing w:after="0"/>
              <w:rPr>
                <w:sz w:val="1"/>
                <w:szCs w:val="1"/>
                <w:color w:val="auto"/>
              </w:rPr>
            </w:pPr>
          </w:p>
        </w:tc>
      </w:tr>
      <w:tr>
        <w:trPr>
          <w:trHeight w:val="264"/>
        </w:trPr>
        <w:tc>
          <w:tcPr>
            <w:tcW w:w="5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EBITDAR</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4,811,103</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4,892,402</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5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Debt</w:t>
            </w:r>
          </w:p>
        </w:tc>
        <w:tc>
          <w:tcPr>
            <w:tcW w:w="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8,799,775</w:t>
            </w:r>
          </w:p>
        </w:tc>
        <w:tc>
          <w:tcPr>
            <w:tcW w:w="1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9,024,381</w:t>
            </w:r>
          </w:p>
        </w:tc>
        <w:tc>
          <w:tcPr>
            <w:tcW w:w="0" w:type="dxa"/>
            <w:vAlign w:val="bottom"/>
          </w:tcPr>
          <w:p>
            <w:pPr>
              <w:spacing w:after="0"/>
              <w:rPr>
                <w:sz w:val="1"/>
                <w:szCs w:val="1"/>
                <w:color w:val="auto"/>
              </w:rPr>
            </w:pPr>
          </w:p>
        </w:tc>
      </w:tr>
      <w:tr>
        <w:trPr>
          <w:trHeight w:val="279"/>
        </w:trPr>
        <w:tc>
          <w:tcPr>
            <w:tcW w:w="5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Financing lease liabilities</w:t>
            </w: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399,940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399,441</w:t>
            </w:r>
          </w:p>
        </w:tc>
        <w:tc>
          <w:tcPr>
            <w:tcW w:w="0" w:type="dxa"/>
            <w:vAlign w:val="bottom"/>
          </w:tcPr>
          <w:p>
            <w:pPr>
              <w:spacing w:after="0"/>
              <w:rPr>
                <w:sz w:val="1"/>
                <w:szCs w:val="1"/>
                <w:color w:val="auto"/>
              </w:rPr>
            </w:pPr>
          </w:p>
        </w:tc>
      </w:tr>
      <w:tr>
        <w:trPr>
          <w:trHeight w:val="329"/>
        </w:trPr>
        <w:tc>
          <w:tcPr>
            <w:tcW w:w="5280" w:type="dxa"/>
            <w:vAlign w:val="bottom"/>
            <w:gridSpan w:val="3"/>
          </w:tcPr>
          <w:p>
            <w:pPr>
              <w:spacing w:after="0" w:line="329" w:lineRule="exact"/>
              <w:rPr>
                <w:sz w:val="20"/>
                <w:szCs w:val="20"/>
                <w:color w:val="auto"/>
              </w:rPr>
            </w:pPr>
            <w:r>
              <w:rPr>
                <w:rFonts w:ascii="Times New Roman" w:cs="Times New Roman" w:eastAsia="Times New Roman" w:hAnsi="Times New Roman"/>
                <w:sz w:val="22"/>
                <w:szCs w:val="22"/>
                <w:color w:val="auto"/>
              </w:rPr>
              <w:t xml:space="preserve">Add: Rent x 6 </w:t>
            </w:r>
            <w:r>
              <w:rPr>
                <w:rFonts w:ascii="Times New Roman" w:cs="Times New Roman" w:eastAsia="Times New Roman" w:hAnsi="Times New Roman"/>
                <w:sz w:val="35"/>
                <w:szCs w:val="35"/>
                <w:color w:val="auto"/>
                <w:vertAlign w:val="superscript"/>
              </w:rPr>
              <w:t>(1)</w:t>
            </w: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2,778,186</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2,686,158</w:t>
            </w:r>
          </w:p>
        </w:tc>
        <w:tc>
          <w:tcPr>
            <w:tcW w:w="0" w:type="dxa"/>
            <w:vAlign w:val="bottom"/>
          </w:tcPr>
          <w:p>
            <w:pPr>
              <w:spacing w:after="0"/>
              <w:rPr>
                <w:sz w:val="1"/>
                <w:szCs w:val="1"/>
                <w:color w:val="auto"/>
              </w:rPr>
            </w:pPr>
          </w:p>
        </w:tc>
      </w:tr>
      <w:tr>
        <w:trPr>
          <w:trHeight w:val="263"/>
        </w:trPr>
        <w:tc>
          <w:tcPr>
            <w:tcW w:w="5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Adjusted debt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11,977,901</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12,109,980</w:t>
            </w:r>
          </w:p>
        </w:tc>
        <w:tc>
          <w:tcPr>
            <w:tcW w:w="0" w:type="dxa"/>
            <w:vAlign w:val="bottom"/>
          </w:tcPr>
          <w:p>
            <w:pPr>
              <w:spacing w:after="0"/>
              <w:rPr>
                <w:sz w:val="1"/>
                <w:szCs w:val="1"/>
                <w:color w:val="auto"/>
              </w:rPr>
            </w:pPr>
          </w:p>
        </w:tc>
      </w:tr>
      <w:tr>
        <w:trPr>
          <w:trHeight w:val="20"/>
        </w:trPr>
        <w:tc>
          <w:tcPr>
            <w:tcW w:w="5280" w:type="dxa"/>
            <w:vAlign w:val="bottom"/>
            <w:gridSpan w:val="3"/>
            <w:vMerge w:val="restart"/>
          </w:tcPr>
          <w:p>
            <w:pPr>
              <w:spacing w:after="0"/>
              <w:rPr>
                <w:sz w:val="20"/>
                <w:szCs w:val="20"/>
                <w:color w:val="auto"/>
              </w:rPr>
            </w:pPr>
            <w:r>
              <w:rPr>
                <w:rFonts w:ascii="Times New Roman" w:cs="Times New Roman" w:eastAsia="Times New Roman" w:hAnsi="Times New Roman"/>
                <w:sz w:val="22"/>
                <w:szCs w:val="22"/>
                <w:b w:val="1"/>
                <w:bCs w:val="1"/>
                <w:color w:val="auto"/>
              </w:rPr>
              <w:t>Adjusted debt to EBITDAR</w:t>
            </w: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2"/>
        </w:trPr>
        <w:tc>
          <w:tcPr>
            <w:tcW w:w="528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c>
          <w:tcPr>
            <w:tcW w:w="0" w:type="dxa"/>
            <w:vAlign w:val="bottom"/>
          </w:tcPr>
          <w:p>
            <w:pPr>
              <w:spacing w:after="0"/>
              <w:rPr>
                <w:sz w:val="1"/>
                <w:szCs w:val="1"/>
                <w:color w:val="auto"/>
              </w:rPr>
            </w:pPr>
          </w:p>
        </w:tc>
      </w:tr>
      <w:tr>
        <w:trPr>
          <w:trHeight w:val="488"/>
        </w:trPr>
        <w:tc>
          <w:tcPr>
            <w:tcW w:w="4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b w:val="1"/>
                <w:bCs w:val="1"/>
                <w:color w:val="auto"/>
                <w:w w:val="97"/>
              </w:rPr>
              <w:t>Adjusted Return on Invested Capital (ROIC)</w:t>
            </w: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(in thousands, except ROIC)</w:t>
            </w:r>
          </w:p>
        </w:tc>
        <w:tc>
          <w:tcPr>
            <w:tcW w:w="260" w:type="dxa"/>
            <w:vAlign w:val="bottom"/>
          </w:tcPr>
          <w:p>
            <w:pPr>
              <w:spacing w:after="0"/>
              <w:rPr>
                <w:sz w:val="24"/>
                <w:szCs w:val="24"/>
                <w:color w:val="auto"/>
              </w:rPr>
            </w:pPr>
          </w:p>
        </w:tc>
        <w:tc>
          <w:tcPr>
            <w:tcW w:w="13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22"/>
                <w:szCs w:val="22"/>
                <w:b w:val="1"/>
                <w:bCs w:val="1"/>
                <w:color w:val="auto"/>
                <w:w w:val="97"/>
              </w:rPr>
              <w:t>52 Weeks</w:t>
            </w:r>
          </w:p>
        </w:tc>
        <w:tc>
          <w:tcPr>
            <w:tcW w:w="260" w:type="dxa"/>
            <w:vAlign w:val="bottom"/>
          </w:tcPr>
          <w:p>
            <w:pPr>
              <w:spacing w:after="0"/>
              <w:rPr>
                <w:sz w:val="24"/>
                <w:szCs w:val="24"/>
                <w:color w:val="auto"/>
              </w:rPr>
            </w:pPr>
          </w:p>
        </w:tc>
        <w:tc>
          <w:tcPr>
            <w:tcW w:w="1260" w:type="dxa"/>
            <w:vAlign w:val="bottom"/>
            <w:vMerge w:val="restart"/>
          </w:tcPr>
          <w:p>
            <w:pPr>
              <w:jc w:val="center"/>
              <w:ind w:right="152"/>
              <w:spacing w:after="0"/>
              <w:rPr>
                <w:sz w:val="20"/>
                <w:szCs w:val="20"/>
                <w:color w:val="auto"/>
              </w:rPr>
            </w:pPr>
            <w:r>
              <w:rPr>
                <w:rFonts w:ascii="Times New Roman" w:cs="Times New Roman" w:eastAsia="Times New Roman" w:hAnsi="Times New Roman"/>
                <w:sz w:val="22"/>
                <w:szCs w:val="22"/>
                <w:b w:val="1"/>
                <w:bCs w:val="1"/>
                <w:color w:val="auto"/>
                <w:w w:val="97"/>
              </w:rPr>
              <w:t>53 Weeks</w:t>
            </w:r>
          </w:p>
        </w:tc>
        <w:tc>
          <w:tcPr>
            <w:tcW w:w="0" w:type="dxa"/>
            <w:vAlign w:val="bottom"/>
          </w:tcPr>
          <w:p>
            <w:pPr>
              <w:spacing w:after="0"/>
              <w:rPr>
                <w:sz w:val="1"/>
                <w:szCs w:val="1"/>
                <w:color w:val="auto"/>
              </w:rPr>
            </w:pPr>
          </w:p>
        </w:tc>
      </w:tr>
      <w:tr>
        <w:trPr>
          <w:trHeight w:val="227"/>
        </w:trPr>
        <w:tc>
          <w:tcPr>
            <w:tcW w:w="25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5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22"/>
                <w:szCs w:val="22"/>
                <w:b w:val="1"/>
                <w:bCs w:val="1"/>
                <w:color w:val="auto"/>
                <w:w w:val="98"/>
              </w:rPr>
              <w:t>Ended</w:t>
            </w:r>
          </w:p>
        </w:tc>
        <w:tc>
          <w:tcPr>
            <w:tcW w:w="260" w:type="dxa"/>
            <w:vAlign w:val="bottom"/>
          </w:tcPr>
          <w:p>
            <w:pPr>
              <w:spacing w:after="0"/>
              <w:rPr>
                <w:sz w:val="23"/>
                <w:szCs w:val="23"/>
                <w:color w:val="auto"/>
              </w:rPr>
            </w:pPr>
          </w:p>
        </w:tc>
        <w:tc>
          <w:tcPr>
            <w:tcW w:w="1260" w:type="dxa"/>
            <w:vAlign w:val="bottom"/>
          </w:tcPr>
          <w:p>
            <w:pPr>
              <w:jc w:val="center"/>
              <w:ind w:right="152"/>
              <w:spacing w:after="0"/>
              <w:rPr>
                <w:sz w:val="20"/>
                <w:szCs w:val="20"/>
                <w:color w:val="auto"/>
              </w:rPr>
            </w:pPr>
            <w:r>
              <w:rPr>
                <w:rFonts w:ascii="Times New Roman" w:cs="Times New Roman" w:eastAsia="Times New Roman" w:hAnsi="Times New Roman"/>
                <w:sz w:val="22"/>
                <w:szCs w:val="22"/>
                <w:b w:val="1"/>
                <w:bCs w:val="1"/>
                <w:color w:val="auto"/>
                <w:w w:val="98"/>
              </w:rPr>
              <w:t>Ended</w:t>
            </w:r>
          </w:p>
        </w:tc>
        <w:tc>
          <w:tcPr>
            <w:tcW w:w="0" w:type="dxa"/>
            <w:vAlign w:val="bottom"/>
          </w:tcPr>
          <w:p>
            <w:pPr>
              <w:spacing w:after="0"/>
              <w:rPr>
                <w:sz w:val="1"/>
                <w:szCs w:val="1"/>
                <w:color w:val="auto"/>
              </w:rPr>
            </w:pPr>
          </w:p>
        </w:tc>
      </w:tr>
      <w:tr>
        <w:trPr>
          <w:trHeight w:val="286"/>
        </w:trPr>
        <w:tc>
          <w:tcPr>
            <w:tcW w:w="2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40" w:type="dxa"/>
            <w:vAlign w:val="bottom"/>
            <w:gridSpan w:val="3"/>
          </w:tcPr>
          <w:p>
            <w:pPr>
              <w:jc w:val="center"/>
              <w:ind w:right="120"/>
              <w:spacing w:after="0"/>
              <w:rPr>
                <w:sz w:val="20"/>
                <w:szCs w:val="20"/>
                <w:color w:val="auto"/>
              </w:rPr>
            </w:pPr>
            <w:r>
              <w:rPr>
                <w:rFonts w:ascii="Times New Roman" w:cs="Times New Roman" w:eastAsia="Times New Roman" w:hAnsi="Times New Roman"/>
                <w:sz w:val="22"/>
                <w:szCs w:val="22"/>
                <w:b w:val="1"/>
                <w:bCs w:val="1"/>
                <w:color w:val="auto"/>
                <w:w w:val="98"/>
              </w:rPr>
              <w:t>August 30, 2025</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August 31, 2024</w:t>
            </w:r>
          </w:p>
        </w:tc>
        <w:tc>
          <w:tcPr>
            <w:tcW w:w="0" w:type="dxa"/>
            <w:vAlign w:val="bottom"/>
          </w:tcPr>
          <w:p>
            <w:pPr>
              <w:spacing w:after="0"/>
              <w:rPr>
                <w:sz w:val="1"/>
                <w:szCs w:val="1"/>
                <w:color w:val="auto"/>
              </w:rPr>
            </w:pPr>
          </w:p>
        </w:tc>
      </w:tr>
      <w:tr>
        <w:trPr>
          <w:trHeight w:val="251"/>
        </w:trPr>
        <w:tc>
          <w:tcPr>
            <w:tcW w:w="5280" w:type="dxa"/>
            <w:vAlign w:val="bottom"/>
            <w:gridSpan w:val="3"/>
          </w:tcPr>
          <w:p>
            <w:pPr>
              <w:spacing w:after="0" w:line="251" w:lineRule="exact"/>
              <w:rPr>
                <w:sz w:val="20"/>
                <w:szCs w:val="20"/>
                <w:color w:val="auto"/>
              </w:rPr>
            </w:pPr>
            <w:r>
              <w:rPr>
                <w:rFonts w:ascii="Times New Roman" w:cs="Times New Roman" w:eastAsia="Times New Roman" w:hAnsi="Times New Roman"/>
                <w:sz w:val="22"/>
                <w:szCs w:val="22"/>
                <w:color w:val="auto"/>
              </w:rPr>
              <w:t>Net income</w:t>
            </w:r>
          </w:p>
        </w:tc>
        <w:tc>
          <w:tcPr>
            <w:tcW w:w="26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w:t>
            </w:r>
          </w:p>
        </w:tc>
        <w:tc>
          <w:tcPr>
            <w:tcW w:w="126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2,498,247</w:t>
            </w:r>
          </w:p>
        </w:tc>
        <w:tc>
          <w:tcPr>
            <w:tcW w:w="120" w:type="dxa"/>
            <w:vAlign w:val="bottom"/>
          </w:tcPr>
          <w:p>
            <w:pPr>
              <w:spacing w:after="0"/>
              <w:rPr>
                <w:sz w:val="21"/>
                <w:szCs w:val="21"/>
                <w:color w:val="auto"/>
              </w:rPr>
            </w:pPr>
          </w:p>
        </w:tc>
        <w:tc>
          <w:tcPr>
            <w:tcW w:w="26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w:t>
            </w:r>
          </w:p>
        </w:tc>
        <w:tc>
          <w:tcPr>
            <w:tcW w:w="126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2,662,427</w:t>
            </w:r>
          </w:p>
        </w:tc>
        <w:tc>
          <w:tcPr>
            <w:tcW w:w="0" w:type="dxa"/>
            <w:vAlign w:val="bottom"/>
          </w:tcPr>
          <w:p>
            <w:pPr>
              <w:spacing w:after="0"/>
              <w:rPr>
                <w:sz w:val="1"/>
                <w:szCs w:val="1"/>
                <w:color w:val="auto"/>
              </w:rPr>
            </w:pPr>
          </w:p>
        </w:tc>
      </w:tr>
      <w:tr>
        <w:trPr>
          <w:trHeight w:val="270"/>
        </w:trPr>
        <w:tc>
          <w:tcPr>
            <w:tcW w:w="5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Adjustments:</w:t>
            </w: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528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Interest expense</w:t>
            </w: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475,824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451,578</w:t>
            </w:r>
          </w:p>
        </w:tc>
        <w:tc>
          <w:tcPr>
            <w:tcW w:w="0" w:type="dxa"/>
            <w:vAlign w:val="bottom"/>
          </w:tcPr>
          <w:p>
            <w:pPr>
              <w:spacing w:after="0"/>
              <w:rPr>
                <w:sz w:val="1"/>
                <w:szCs w:val="1"/>
                <w:color w:val="auto"/>
              </w:rPr>
            </w:pPr>
          </w:p>
        </w:tc>
      </w:tr>
      <w:tr>
        <w:trPr>
          <w:trHeight w:val="324"/>
        </w:trPr>
        <w:tc>
          <w:tcPr>
            <w:tcW w:w="5280" w:type="dxa"/>
            <w:vAlign w:val="bottom"/>
            <w:gridSpan w:val="3"/>
          </w:tcPr>
          <w:p>
            <w:pPr>
              <w:ind w:left="200"/>
              <w:spacing w:after="0" w:line="324" w:lineRule="exact"/>
              <w:rPr>
                <w:sz w:val="20"/>
                <w:szCs w:val="20"/>
                <w:color w:val="auto"/>
              </w:rPr>
            </w:pPr>
            <w:r>
              <w:rPr>
                <w:rFonts w:ascii="Times New Roman" w:cs="Times New Roman" w:eastAsia="Times New Roman" w:hAnsi="Times New Roman"/>
                <w:sz w:val="22"/>
                <w:szCs w:val="22"/>
                <w:color w:val="auto"/>
              </w:rPr>
              <w:t xml:space="preserve">Rent expense </w:t>
            </w:r>
            <w:r>
              <w:rPr>
                <w:rFonts w:ascii="Times New Roman" w:cs="Times New Roman" w:eastAsia="Times New Roman" w:hAnsi="Times New Roman"/>
                <w:sz w:val="35"/>
                <w:szCs w:val="35"/>
                <w:color w:val="auto"/>
                <w:vertAlign w:val="superscript"/>
              </w:rPr>
              <w:t>(1)</w:t>
            </w: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463,031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447,693</w:t>
            </w:r>
          </w:p>
        </w:tc>
        <w:tc>
          <w:tcPr>
            <w:tcW w:w="0" w:type="dxa"/>
            <w:vAlign w:val="bottom"/>
          </w:tcPr>
          <w:p>
            <w:pPr>
              <w:spacing w:after="0"/>
              <w:rPr>
                <w:sz w:val="1"/>
                <w:szCs w:val="1"/>
                <w:color w:val="auto"/>
              </w:rPr>
            </w:pPr>
          </w:p>
        </w:tc>
      </w:tr>
      <w:tr>
        <w:trPr>
          <w:trHeight w:val="329"/>
        </w:trPr>
        <w:tc>
          <w:tcPr>
            <w:tcW w:w="5280" w:type="dxa"/>
            <w:vAlign w:val="bottom"/>
            <w:gridSpan w:val="3"/>
          </w:tcPr>
          <w:p>
            <w:pPr>
              <w:ind w:left="200"/>
              <w:spacing w:after="0" w:line="329" w:lineRule="exact"/>
              <w:rPr>
                <w:sz w:val="20"/>
                <w:szCs w:val="20"/>
                <w:color w:val="auto"/>
              </w:rPr>
            </w:pPr>
            <w:r>
              <w:rPr>
                <w:rFonts w:ascii="Times New Roman" w:cs="Times New Roman" w:eastAsia="Times New Roman" w:hAnsi="Times New Roman"/>
                <w:sz w:val="22"/>
                <w:szCs w:val="22"/>
                <w:color w:val="auto"/>
              </w:rPr>
              <w:t xml:space="preserve">Tax effect </w:t>
            </w:r>
            <w:r>
              <w:rPr>
                <w:rFonts w:ascii="Times New Roman" w:cs="Times New Roman" w:eastAsia="Times New Roman" w:hAnsi="Times New Roman"/>
                <w:sz w:val="35"/>
                <w:szCs w:val="35"/>
                <w:color w:val="auto"/>
                <w:vertAlign w:val="superscript"/>
              </w:rPr>
              <w:t>(2)</w:t>
            </w: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(190,588)</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(181,653)</w:t>
            </w:r>
          </w:p>
        </w:tc>
        <w:tc>
          <w:tcPr>
            <w:tcW w:w="0" w:type="dxa"/>
            <w:vAlign w:val="bottom"/>
          </w:tcPr>
          <w:p>
            <w:pPr>
              <w:spacing w:after="0"/>
              <w:rPr>
                <w:sz w:val="1"/>
                <w:szCs w:val="1"/>
                <w:color w:val="auto"/>
              </w:rPr>
            </w:pPr>
          </w:p>
        </w:tc>
      </w:tr>
      <w:tr>
        <w:trPr>
          <w:trHeight w:val="263"/>
        </w:trPr>
        <w:tc>
          <w:tcPr>
            <w:tcW w:w="5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Adjusted after-tax return</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3,246,514</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3,380,045</w:t>
            </w:r>
          </w:p>
        </w:tc>
        <w:tc>
          <w:tcPr>
            <w:tcW w:w="0" w:type="dxa"/>
            <w:vAlign w:val="bottom"/>
          </w:tcPr>
          <w:p>
            <w:pPr>
              <w:spacing w:after="0"/>
              <w:rPr>
                <w:sz w:val="1"/>
                <w:szCs w:val="1"/>
                <w:color w:val="auto"/>
              </w:rPr>
            </w:pPr>
          </w:p>
        </w:tc>
      </w:tr>
      <w:tr>
        <w:trPr>
          <w:trHeight w:val="21"/>
        </w:trPr>
        <w:tc>
          <w:tcPr>
            <w:tcW w:w="5280" w:type="dxa"/>
            <w:vAlign w:val="bottom"/>
            <w:gridSpan w:val="3"/>
            <w:vMerge w:val="restart"/>
          </w:tcPr>
          <w:p>
            <w:pPr>
              <w:spacing w:after="0"/>
              <w:rPr>
                <w:sz w:val="20"/>
                <w:szCs w:val="20"/>
                <w:color w:val="auto"/>
              </w:rPr>
            </w:pPr>
            <w:r>
              <w:rPr>
                <w:rFonts w:ascii="Times New Roman" w:cs="Times New Roman" w:eastAsia="Times New Roman" w:hAnsi="Times New Roman"/>
                <w:sz w:val="22"/>
                <w:szCs w:val="22"/>
                <w:color w:val="auto"/>
              </w:rPr>
              <w:t xml:space="preserve">Average debt </w:t>
            </w:r>
            <w:r>
              <w:rPr>
                <w:rFonts w:ascii="Times New Roman" w:cs="Times New Roman" w:eastAsia="Times New Roman" w:hAnsi="Times New Roman"/>
                <w:sz w:val="35"/>
                <w:szCs w:val="35"/>
                <w:color w:val="auto"/>
                <w:vertAlign w:val="superscript"/>
              </w:rPr>
              <w:t>(3)</w:t>
            </w: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3"/>
        </w:trPr>
        <w:tc>
          <w:tcPr>
            <w:tcW w:w="5280" w:type="dxa"/>
            <w:vAlign w:val="bottom"/>
            <w:gridSpan w:val="3"/>
            <w:vMerge w:val="continue"/>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8,948,381</w:t>
            </w:r>
          </w:p>
        </w:tc>
        <w:tc>
          <w:tcPr>
            <w:tcW w:w="1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8,580,659</w:t>
            </w:r>
          </w:p>
        </w:tc>
        <w:tc>
          <w:tcPr>
            <w:tcW w:w="0" w:type="dxa"/>
            <w:vAlign w:val="bottom"/>
          </w:tcPr>
          <w:p>
            <w:pPr>
              <w:spacing w:after="0"/>
              <w:rPr>
                <w:sz w:val="1"/>
                <w:szCs w:val="1"/>
                <w:color w:val="auto"/>
              </w:rPr>
            </w:pPr>
          </w:p>
        </w:tc>
      </w:tr>
      <w:tr>
        <w:trPr>
          <w:trHeight w:val="324"/>
        </w:trPr>
        <w:tc>
          <w:tcPr>
            <w:tcW w:w="5280" w:type="dxa"/>
            <w:vAlign w:val="bottom"/>
            <w:gridSpan w:val="3"/>
          </w:tcPr>
          <w:p>
            <w:pPr>
              <w:spacing w:after="0" w:line="324" w:lineRule="exact"/>
              <w:rPr>
                <w:sz w:val="20"/>
                <w:szCs w:val="20"/>
                <w:color w:val="auto"/>
              </w:rPr>
            </w:pPr>
            <w:r>
              <w:rPr>
                <w:rFonts w:ascii="Times New Roman" w:cs="Times New Roman" w:eastAsia="Times New Roman" w:hAnsi="Times New Roman"/>
                <w:sz w:val="22"/>
                <w:szCs w:val="22"/>
                <w:color w:val="auto"/>
              </w:rPr>
              <w:t xml:space="preserve">Average stockholders' deficit </w:t>
            </w:r>
            <w:r>
              <w:rPr>
                <w:rFonts w:ascii="Times New Roman" w:cs="Times New Roman" w:eastAsia="Times New Roman" w:hAnsi="Times New Roman"/>
                <w:sz w:val="35"/>
                <w:szCs w:val="35"/>
                <w:color w:val="auto"/>
                <w:vertAlign w:val="superscript"/>
              </w:rPr>
              <w:t>(3)</w:t>
            </w: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(4,253,805)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(4,797,747)</w:t>
            </w:r>
          </w:p>
        </w:tc>
        <w:tc>
          <w:tcPr>
            <w:tcW w:w="0" w:type="dxa"/>
            <w:vAlign w:val="bottom"/>
          </w:tcPr>
          <w:p>
            <w:pPr>
              <w:spacing w:after="0"/>
              <w:rPr>
                <w:sz w:val="1"/>
                <w:szCs w:val="1"/>
                <w:color w:val="auto"/>
              </w:rPr>
            </w:pPr>
          </w:p>
        </w:tc>
      </w:tr>
      <w:tr>
        <w:trPr>
          <w:trHeight w:val="324"/>
        </w:trPr>
        <w:tc>
          <w:tcPr>
            <w:tcW w:w="5280" w:type="dxa"/>
            <w:vAlign w:val="bottom"/>
            <w:gridSpan w:val="3"/>
          </w:tcPr>
          <w:p>
            <w:pPr>
              <w:spacing w:after="0" w:line="324" w:lineRule="exact"/>
              <w:rPr>
                <w:sz w:val="20"/>
                <w:szCs w:val="20"/>
                <w:color w:val="auto"/>
              </w:rPr>
            </w:pPr>
            <w:r>
              <w:rPr>
                <w:rFonts w:ascii="Times New Roman" w:cs="Times New Roman" w:eastAsia="Times New Roman" w:hAnsi="Times New Roman"/>
                <w:sz w:val="22"/>
                <w:szCs w:val="22"/>
                <w:color w:val="auto"/>
              </w:rPr>
              <w:t xml:space="preserve">Add: Rent x 6 </w:t>
            </w:r>
            <w:r>
              <w:rPr>
                <w:rFonts w:ascii="Times New Roman" w:cs="Times New Roman" w:eastAsia="Times New Roman" w:hAnsi="Times New Roman"/>
                <w:sz w:val="35"/>
                <w:szCs w:val="35"/>
                <w:color w:val="auto"/>
                <w:vertAlign w:val="superscript"/>
              </w:rPr>
              <w:t>(1)</w:t>
            </w: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2,778,186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2,686,158</w:t>
            </w:r>
          </w:p>
        </w:tc>
        <w:tc>
          <w:tcPr>
            <w:tcW w:w="0" w:type="dxa"/>
            <w:vAlign w:val="bottom"/>
          </w:tcPr>
          <w:p>
            <w:pPr>
              <w:spacing w:after="0"/>
              <w:rPr>
                <w:sz w:val="1"/>
                <w:szCs w:val="1"/>
                <w:color w:val="auto"/>
              </w:rPr>
            </w:pPr>
          </w:p>
        </w:tc>
      </w:tr>
      <w:tr>
        <w:trPr>
          <w:trHeight w:val="329"/>
        </w:trPr>
        <w:tc>
          <w:tcPr>
            <w:tcW w:w="5280" w:type="dxa"/>
            <w:vAlign w:val="bottom"/>
            <w:gridSpan w:val="3"/>
          </w:tcPr>
          <w:p>
            <w:pPr>
              <w:spacing w:after="0" w:line="329" w:lineRule="exact"/>
              <w:rPr>
                <w:sz w:val="20"/>
                <w:szCs w:val="20"/>
                <w:color w:val="auto"/>
              </w:rPr>
            </w:pPr>
            <w:r>
              <w:rPr>
                <w:rFonts w:ascii="Times New Roman" w:cs="Times New Roman" w:eastAsia="Times New Roman" w:hAnsi="Times New Roman"/>
                <w:sz w:val="22"/>
                <w:szCs w:val="22"/>
                <w:color w:val="auto"/>
              </w:rPr>
              <w:t xml:space="preserve">Average financing lease liabilities </w:t>
            </w:r>
            <w:r>
              <w:rPr>
                <w:rFonts w:ascii="Times New Roman" w:cs="Times New Roman" w:eastAsia="Times New Roman" w:hAnsi="Times New Roman"/>
                <w:sz w:val="35"/>
                <w:szCs w:val="35"/>
                <w:color w:val="auto"/>
                <w:vertAlign w:val="superscript"/>
              </w:rPr>
              <w:t>(3)</w:t>
            </w: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396,323</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329,225</w:t>
            </w:r>
          </w:p>
        </w:tc>
        <w:tc>
          <w:tcPr>
            <w:tcW w:w="0" w:type="dxa"/>
            <w:vAlign w:val="bottom"/>
          </w:tcPr>
          <w:p>
            <w:pPr>
              <w:spacing w:after="0"/>
              <w:rPr>
                <w:sz w:val="1"/>
                <w:szCs w:val="1"/>
                <w:color w:val="auto"/>
              </w:rPr>
            </w:pPr>
          </w:p>
        </w:tc>
      </w:tr>
      <w:tr>
        <w:trPr>
          <w:trHeight w:val="263"/>
        </w:trPr>
        <w:tc>
          <w:tcPr>
            <w:tcW w:w="5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Invested capital</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7,869,085</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6,798,295</w:t>
            </w:r>
          </w:p>
        </w:tc>
        <w:tc>
          <w:tcPr>
            <w:tcW w:w="0" w:type="dxa"/>
            <w:vAlign w:val="bottom"/>
          </w:tcPr>
          <w:p>
            <w:pPr>
              <w:spacing w:after="0"/>
              <w:rPr>
                <w:sz w:val="1"/>
                <w:szCs w:val="1"/>
                <w:color w:val="auto"/>
              </w:rPr>
            </w:pPr>
          </w:p>
        </w:tc>
      </w:tr>
      <w:tr>
        <w:trPr>
          <w:trHeight w:val="21"/>
        </w:trPr>
        <w:tc>
          <w:tcPr>
            <w:tcW w:w="2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40" w:top="111" w:right="379" w:bottom="0" w:gutter="0" w:footer="0" w:header="0"/>
        </w:sectPr>
      </w:pPr>
    </w:p>
    <w:bookmarkStart w:id="8" w:name="page9"/>
    <w:bookmarkEnd w:id="8"/>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86"/>
        </w:trPr>
        <w:tc>
          <w:tcPr>
            <w:tcW w:w="42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Adjusted After-Tax ROIC</w:t>
            </w:r>
          </w:p>
        </w:tc>
        <w:tc>
          <w:tcPr>
            <w:tcW w:w="296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41.3%</w:t>
            </w: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49.7%</w:t>
            </w:r>
          </w:p>
        </w:tc>
      </w:tr>
    </w:tbl>
    <w:p>
      <w:pPr>
        <w:spacing w:after="0" w:line="308" w:lineRule="exact"/>
        <w:rPr>
          <w:sz w:val="20"/>
          <w:szCs w:val="20"/>
          <w:color w:val="auto"/>
        </w:rPr>
      </w:pPr>
    </w:p>
    <w:p>
      <w:pPr>
        <w:ind w:left="20" w:right="2720" w:firstLine="1"/>
        <w:spacing w:after="0" w:line="220" w:lineRule="auto"/>
        <w:tabs>
          <w:tab w:leader="none" w:pos="284" w:val="left"/>
        </w:tabs>
        <w:numPr>
          <w:ilvl w:val="0"/>
          <w:numId w:val="2"/>
        </w:numPr>
        <w:rPr>
          <w:rFonts w:ascii="Times New Roman" w:cs="Times New Roman" w:eastAsia="Times New Roman" w:hAnsi="Times New Roman"/>
          <w:sz w:val="33"/>
          <w:szCs w:val="33"/>
          <w:i w:val="1"/>
          <w:iCs w:val="1"/>
          <w:color w:val="auto"/>
          <w:vertAlign w:val="superscript"/>
        </w:rPr>
      </w:pPr>
      <w:r>
        <w:rPr>
          <w:rFonts w:ascii="Times New Roman" w:cs="Times New Roman" w:eastAsia="Times New Roman" w:hAnsi="Times New Roman"/>
          <w:sz w:val="20"/>
          <w:szCs w:val="20"/>
          <w:i w:val="1"/>
          <w:iCs w:val="1"/>
          <w:color w:val="auto"/>
        </w:rPr>
        <w:t>The table below outlines the calculation of rent expense and reconciles rent expense to total lease cost, per ASC 842, the most directly comparable GAAP financial measure, for the 52 weeks ended August 30, 2025 and the 53 weeks ended August 31, 2024</w:t>
      </w:r>
      <w:r>
        <w:rPr>
          <w:rFonts w:ascii="Times New Roman" w:cs="Times New Roman" w:eastAsia="Times New Roman" w:hAnsi="Times New Roman"/>
          <w:sz w:val="20"/>
          <w:szCs w:val="20"/>
          <w:b w:val="1"/>
          <w:bCs w:val="1"/>
          <w:i w:val="1"/>
          <w:iCs w:val="1"/>
          <w:color w:val="auto"/>
        </w:rPr>
        <w: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22"/>
                <w:szCs w:val="22"/>
                <w:b w:val="1"/>
                <w:bCs w:val="1"/>
                <w:color w:val="auto"/>
                <w:w w:val="97"/>
              </w:rPr>
              <w:t>52 Weeks</w:t>
            </w:r>
          </w:p>
        </w:tc>
        <w:tc>
          <w:tcPr>
            <w:tcW w:w="260" w:type="dxa"/>
            <w:vAlign w:val="bottom"/>
          </w:tcPr>
          <w:p>
            <w:pPr>
              <w:spacing w:after="0"/>
              <w:rPr>
                <w:sz w:val="22"/>
                <w:szCs w:val="22"/>
                <w:color w:val="auto"/>
              </w:rPr>
            </w:pPr>
          </w:p>
        </w:tc>
        <w:tc>
          <w:tcPr>
            <w:tcW w:w="1260" w:type="dxa"/>
            <w:vAlign w:val="bottom"/>
          </w:tcPr>
          <w:p>
            <w:pPr>
              <w:jc w:val="center"/>
              <w:ind w:right="152"/>
              <w:spacing w:after="0"/>
              <w:rPr>
                <w:sz w:val="20"/>
                <w:szCs w:val="20"/>
                <w:color w:val="auto"/>
              </w:rPr>
            </w:pPr>
            <w:r>
              <w:rPr>
                <w:rFonts w:ascii="Times New Roman" w:cs="Times New Roman" w:eastAsia="Times New Roman" w:hAnsi="Times New Roman"/>
                <w:sz w:val="22"/>
                <w:szCs w:val="22"/>
                <w:b w:val="1"/>
                <w:bCs w:val="1"/>
                <w:color w:val="auto"/>
                <w:w w:val="97"/>
              </w:rPr>
              <w:t>53 Weeks</w:t>
            </w:r>
          </w:p>
        </w:tc>
      </w:tr>
      <w:tr>
        <w:trPr>
          <w:trHeight w:val="270"/>
        </w:trPr>
        <w:tc>
          <w:tcPr>
            <w:tcW w:w="5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22"/>
                <w:szCs w:val="22"/>
                <w:b w:val="1"/>
                <w:bCs w:val="1"/>
                <w:color w:val="auto"/>
                <w:w w:val="98"/>
              </w:rPr>
              <w:t>Ended</w:t>
            </w:r>
          </w:p>
        </w:tc>
        <w:tc>
          <w:tcPr>
            <w:tcW w:w="260" w:type="dxa"/>
            <w:vAlign w:val="bottom"/>
          </w:tcPr>
          <w:p>
            <w:pPr>
              <w:spacing w:after="0"/>
              <w:rPr>
                <w:sz w:val="23"/>
                <w:szCs w:val="23"/>
                <w:color w:val="auto"/>
              </w:rPr>
            </w:pPr>
          </w:p>
        </w:tc>
        <w:tc>
          <w:tcPr>
            <w:tcW w:w="1260" w:type="dxa"/>
            <w:vAlign w:val="bottom"/>
          </w:tcPr>
          <w:p>
            <w:pPr>
              <w:jc w:val="center"/>
              <w:ind w:right="152"/>
              <w:spacing w:after="0"/>
              <w:rPr>
                <w:sz w:val="20"/>
                <w:szCs w:val="20"/>
                <w:color w:val="auto"/>
              </w:rPr>
            </w:pPr>
            <w:r>
              <w:rPr>
                <w:rFonts w:ascii="Times New Roman" w:cs="Times New Roman" w:eastAsia="Times New Roman" w:hAnsi="Times New Roman"/>
                <w:sz w:val="22"/>
                <w:szCs w:val="22"/>
                <w:b w:val="1"/>
                <w:bCs w:val="1"/>
                <w:color w:val="auto"/>
                <w:w w:val="98"/>
              </w:rPr>
              <w:t>Ended</w:t>
            </w:r>
          </w:p>
        </w:tc>
      </w:tr>
      <w:tr>
        <w:trPr>
          <w:trHeight w:val="286"/>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(in thousands)</w:t>
            </w:r>
          </w:p>
        </w:tc>
        <w:tc>
          <w:tcPr>
            <w:tcW w:w="1640" w:type="dxa"/>
            <w:vAlign w:val="bottom"/>
            <w:gridSpan w:val="3"/>
          </w:tcPr>
          <w:p>
            <w:pPr>
              <w:jc w:val="center"/>
              <w:ind w:right="120"/>
              <w:spacing w:after="0"/>
              <w:rPr>
                <w:sz w:val="20"/>
                <w:szCs w:val="20"/>
                <w:color w:val="auto"/>
              </w:rPr>
            </w:pPr>
            <w:r>
              <w:rPr>
                <w:rFonts w:ascii="Times New Roman" w:cs="Times New Roman" w:eastAsia="Times New Roman" w:hAnsi="Times New Roman"/>
                <w:sz w:val="22"/>
                <w:szCs w:val="22"/>
                <w:b w:val="1"/>
                <w:bCs w:val="1"/>
                <w:color w:val="auto"/>
                <w:w w:val="98"/>
              </w:rPr>
              <w:t>August 30, 2025</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August 31, 2024</w:t>
            </w:r>
          </w:p>
        </w:tc>
      </w:tr>
      <w:tr>
        <w:trPr>
          <w:trHeight w:val="251"/>
        </w:trPr>
        <w:tc>
          <w:tcPr>
            <w:tcW w:w="5200" w:type="dxa"/>
            <w:vAlign w:val="bottom"/>
            <w:tcBorders>
              <w:top w:val="single" w:sz="8" w:color="auto"/>
            </w:tcBorders>
          </w:tcPr>
          <w:p>
            <w:pPr>
              <w:ind w:left="20"/>
              <w:spacing w:after="0" w:line="251" w:lineRule="exact"/>
              <w:rPr>
                <w:sz w:val="20"/>
                <w:szCs w:val="20"/>
                <w:color w:val="auto"/>
              </w:rPr>
            </w:pPr>
            <w:r>
              <w:rPr>
                <w:rFonts w:ascii="Times New Roman" w:cs="Times New Roman" w:eastAsia="Times New Roman" w:hAnsi="Times New Roman"/>
                <w:sz w:val="22"/>
                <w:szCs w:val="22"/>
                <w:color w:val="auto"/>
              </w:rPr>
              <w:t>Total lease cost, per ASC 842</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w:t>
            </w:r>
          </w:p>
        </w:tc>
        <w:tc>
          <w:tcPr>
            <w:tcW w:w="126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626,625</w:t>
            </w:r>
          </w:p>
        </w:tc>
        <w:tc>
          <w:tcPr>
            <w:tcW w:w="120" w:type="dxa"/>
            <w:vAlign w:val="bottom"/>
          </w:tcPr>
          <w:p>
            <w:pPr>
              <w:spacing w:after="0"/>
              <w:rPr>
                <w:sz w:val="21"/>
                <w:szCs w:val="21"/>
                <w:color w:val="auto"/>
              </w:rPr>
            </w:pPr>
          </w:p>
        </w:tc>
        <w:tc>
          <w:tcPr>
            <w:tcW w:w="26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w:t>
            </w:r>
          </w:p>
        </w:tc>
        <w:tc>
          <w:tcPr>
            <w:tcW w:w="126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588,835</w:t>
            </w:r>
          </w:p>
        </w:tc>
      </w:tr>
      <w:tr>
        <w:trPr>
          <w:trHeight w:val="282"/>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Less: Financing lease interest and amortization</w:t>
            </w: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(119,801)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(103,670)</w:t>
            </w:r>
          </w:p>
        </w:tc>
      </w:tr>
      <w:tr>
        <w:trPr>
          <w:trHeight w:val="258"/>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Less: Variable operating lease components, related to</w:t>
            </w:r>
          </w:p>
        </w:tc>
        <w:tc>
          <w:tcPr>
            <w:tcW w:w="2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83"/>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insurance and common area maintenance</w:t>
            </w: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(43,793)</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(37,472)</w:t>
            </w:r>
          </w:p>
        </w:tc>
      </w:tr>
      <w:tr>
        <w:trPr>
          <w:trHeight w:val="264"/>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Rent expense</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463,031</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447,693</w:t>
            </w:r>
          </w:p>
        </w:tc>
      </w:tr>
      <w:tr>
        <w:trPr>
          <w:trHeight w:val="21"/>
        </w:trPr>
        <w:tc>
          <w:tcPr>
            <w:tcW w:w="5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left="280" w:hanging="259"/>
        <w:spacing w:after="0"/>
        <w:tabs>
          <w:tab w:leader="none" w:pos="280" w:val="left"/>
        </w:tabs>
        <w:numPr>
          <w:ilvl w:val="0"/>
          <w:numId w:val="3"/>
        </w:numPr>
        <w:rPr>
          <w:rFonts w:ascii="Times New Roman" w:cs="Times New Roman" w:eastAsia="Times New Roman" w:hAnsi="Times New Roman"/>
          <w:sz w:val="33"/>
          <w:szCs w:val="33"/>
          <w:i w:val="1"/>
          <w:iCs w:val="1"/>
          <w:color w:val="auto"/>
          <w:vertAlign w:val="superscript"/>
        </w:rPr>
      </w:pPr>
      <w:r>
        <w:rPr>
          <w:rFonts w:ascii="Times New Roman" w:cs="Times New Roman" w:eastAsia="Times New Roman" w:hAnsi="Times New Roman"/>
          <w:sz w:val="20"/>
          <w:szCs w:val="20"/>
          <w:i w:val="1"/>
          <w:iCs w:val="1"/>
          <w:color w:val="auto"/>
        </w:rPr>
        <w:t>Effective tax rate for fiscal 2025 and 2024 was 20.3% and 20.2%, respectively.</w:t>
      </w:r>
    </w:p>
    <w:p>
      <w:pPr>
        <w:spacing w:after="0" w:line="65" w:lineRule="exact"/>
        <w:rPr>
          <w:rFonts w:ascii="Times New Roman" w:cs="Times New Roman" w:eastAsia="Times New Roman" w:hAnsi="Times New Roman"/>
          <w:sz w:val="33"/>
          <w:szCs w:val="33"/>
          <w:i w:val="1"/>
          <w:iCs w:val="1"/>
          <w:color w:val="auto"/>
          <w:vertAlign w:val="superscript"/>
        </w:rPr>
      </w:pPr>
    </w:p>
    <w:p>
      <w:pPr>
        <w:ind w:left="280" w:hanging="259"/>
        <w:spacing w:after="0" w:line="192" w:lineRule="auto"/>
        <w:tabs>
          <w:tab w:leader="none" w:pos="280" w:val="left"/>
        </w:tabs>
        <w:numPr>
          <w:ilvl w:val="0"/>
          <w:numId w:val="3"/>
        </w:numPr>
        <w:rPr>
          <w:rFonts w:ascii="Times New Roman" w:cs="Times New Roman" w:eastAsia="Times New Roman" w:hAnsi="Times New Roman"/>
          <w:sz w:val="28"/>
          <w:szCs w:val="28"/>
          <w:i w:val="1"/>
          <w:iCs w:val="1"/>
          <w:color w:val="auto"/>
          <w:vertAlign w:val="superscript"/>
        </w:rPr>
      </w:pPr>
      <w:r>
        <w:rPr>
          <w:rFonts w:ascii="Times New Roman" w:cs="Times New Roman" w:eastAsia="Times New Roman" w:hAnsi="Times New Roman"/>
          <w:sz w:val="18"/>
          <w:szCs w:val="18"/>
          <w:i w:val="1"/>
          <w:iCs w:val="1"/>
          <w:color w:val="auto"/>
        </w:rPr>
        <w:t>All averages are computed based on trailing five quarter balances.</w:t>
      </w: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52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Other Selected Financial Information</w:t>
            </w: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5280" w:type="dxa"/>
            <w:vAlign w:val="bottom"/>
          </w:tcPr>
          <w:p>
            <w:pPr>
              <w:spacing w:after="0"/>
              <w:rPr>
                <w:sz w:val="20"/>
                <w:szCs w:val="20"/>
                <w:color w:val="auto"/>
              </w:rPr>
            </w:pPr>
            <w:r>
              <w:rPr>
                <w:rFonts w:ascii="Times New Roman" w:cs="Times New Roman" w:eastAsia="Times New Roman" w:hAnsi="Times New Roman"/>
                <w:sz w:val="22"/>
                <w:szCs w:val="22"/>
                <w:color w:val="auto"/>
              </w:rPr>
              <w:t>(in thousands)</w:t>
            </w:r>
          </w:p>
        </w:tc>
        <w:tc>
          <w:tcPr>
            <w:tcW w:w="16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22"/>
                <w:szCs w:val="22"/>
                <w:b w:val="1"/>
                <w:bCs w:val="1"/>
                <w:color w:val="auto"/>
                <w:w w:val="98"/>
              </w:rPr>
              <w:t>August 30, 2025</w:t>
            </w:r>
          </w:p>
        </w:tc>
        <w:tc>
          <w:tcPr>
            <w:tcW w:w="16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8"/>
              </w:rPr>
              <w:t>August 31, 2024</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80" w:type="dxa"/>
            <w:vAlign w:val="bottom"/>
          </w:tcPr>
          <w:p>
            <w:pPr>
              <w:spacing w:after="0"/>
              <w:rPr>
                <w:sz w:val="23"/>
                <w:szCs w:val="23"/>
                <w:color w:val="auto"/>
              </w:rPr>
            </w:pPr>
          </w:p>
        </w:tc>
        <w:tc>
          <w:tcPr>
            <w:tcW w:w="1640" w:type="dxa"/>
            <w:vAlign w:val="bottom"/>
            <w:gridSpan w:val="3"/>
            <w:vMerge w:val="continue"/>
          </w:tcPr>
          <w:p>
            <w:pPr>
              <w:spacing w:after="0"/>
              <w:rPr>
                <w:sz w:val="23"/>
                <w:szCs w:val="23"/>
                <w:color w:val="auto"/>
              </w:rPr>
            </w:pPr>
          </w:p>
        </w:tc>
        <w:tc>
          <w:tcPr>
            <w:tcW w:w="1620" w:type="dxa"/>
            <w:vAlign w:val="bottom"/>
            <w:gridSpan w:val="3"/>
            <w:vMerge w:val="continue"/>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528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Cumulative share repurchases ($ since fiscal 1998)</w:t>
            </w:r>
          </w:p>
        </w:tc>
        <w:tc>
          <w:tcPr>
            <w:tcW w:w="26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w:t>
            </w:r>
          </w:p>
        </w:tc>
        <w:tc>
          <w:tcPr>
            <w:tcW w:w="126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38,517,689</w:t>
            </w:r>
          </w:p>
        </w:tc>
        <w:tc>
          <w:tcPr>
            <w:tcW w:w="120" w:type="dxa"/>
            <w:vAlign w:val="bottom"/>
          </w:tcPr>
          <w:p>
            <w:pPr>
              <w:spacing w:after="0"/>
              <w:rPr>
                <w:sz w:val="21"/>
                <w:szCs w:val="21"/>
                <w:color w:val="auto"/>
              </w:rPr>
            </w:pPr>
          </w:p>
        </w:tc>
        <w:tc>
          <w:tcPr>
            <w:tcW w:w="26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w:t>
            </w:r>
          </w:p>
        </w:tc>
        <w:tc>
          <w:tcPr>
            <w:tcW w:w="126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36,986,031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5280" w:type="dxa"/>
            <w:vAlign w:val="bottom"/>
          </w:tcPr>
          <w:p>
            <w:pPr>
              <w:spacing w:after="0"/>
              <w:rPr>
                <w:sz w:val="20"/>
                <w:szCs w:val="20"/>
                <w:color w:val="auto"/>
              </w:rPr>
            </w:pPr>
            <w:r>
              <w:rPr>
                <w:rFonts w:ascii="Times New Roman" w:cs="Times New Roman" w:eastAsia="Times New Roman" w:hAnsi="Times New Roman"/>
                <w:sz w:val="22"/>
                <w:szCs w:val="22"/>
                <w:color w:val="auto"/>
              </w:rPr>
              <w:t>Remaining share repurchase authorization ($)</w:t>
            </w: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632,311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2,163,969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280" w:type="dxa"/>
            <w:vAlign w:val="bottom"/>
          </w:tcPr>
          <w:p>
            <w:pPr>
              <w:spacing w:after="0"/>
              <w:rPr>
                <w:sz w:val="20"/>
                <w:szCs w:val="20"/>
                <w:color w:val="auto"/>
              </w:rPr>
            </w:pPr>
            <w:r>
              <w:rPr>
                <w:rFonts w:ascii="Times New Roman" w:cs="Times New Roman" w:eastAsia="Times New Roman" w:hAnsi="Times New Roman"/>
                <w:sz w:val="22"/>
                <w:szCs w:val="22"/>
                <w:color w:val="auto"/>
              </w:rPr>
              <w:t>Cumulative share repurchases (shares since fiscal 1998)</w:t>
            </w: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155,629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155,181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280" w:type="dxa"/>
            <w:vAlign w:val="bottom"/>
          </w:tcPr>
          <w:p>
            <w:pPr>
              <w:spacing w:after="0"/>
              <w:rPr>
                <w:sz w:val="20"/>
                <w:szCs w:val="20"/>
                <w:color w:val="auto"/>
              </w:rPr>
            </w:pPr>
            <w:r>
              <w:rPr>
                <w:rFonts w:ascii="Times New Roman" w:cs="Times New Roman" w:eastAsia="Times New Roman" w:hAnsi="Times New Roman"/>
                <w:sz w:val="22"/>
                <w:szCs w:val="22"/>
                <w:color w:val="auto"/>
              </w:rPr>
              <w:t>Shares outstanding, end of quarter</w:t>
            </w: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16,665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16,926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7"/>
        </w:trPr>
        <w:tc>
          <w:tcPr>
            <w:tcW w:w="5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22"/>
                <w:szCs w:val="22"/>
                <w:b w:val="1"/>
                <w:bCs w:val="1"/>
                <w:color w:val="auto"/>
                <w:w w:val="97"/>
              </w:rPr>
              <w:t>16 Weeks</w:t>
            </w:r>
          </w:p>
        </w:tc>
        <w:tc>
          <w:tcPr>
            <w:tcW w:w="260" w:type="dxa"/>
            <w:vAlign w:val="bottom"/>
          </w:tcPr>
          <w:p>
            <w:pPr>
              <w:spacing w:after="0"/>
              <w:rPr>
                <w:sz w:val="24"/>
                <w:szCs w:val="24"/>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22"/>
                <w:szCs w:val="22"/>
                <w:b w:val="1"/>
                <w:bCs w:val="1"/>
                <w:color w:val="auto"/>
                <w:w w:val="97"/>
              </w:rPr>
              <w:t>17 Weeks</w:t>
            </w:r>
          </w:p>
        </w:tc>
        <w:tc>
          <w:tcPr>
            <w:tcW w:w="16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22"/>
                <w:szCs w:val="22"/>
                <w:b w:val="1"/>
                <w:bCs w:val="1"/>
                <w:color w:val="auto"/>
                <w:w w:val="97"/>
              </w:rPr>
              <w:t>52 Weeks</w:t>
            </w:r>
          </w:p>
        </w:tc>
        <w:tc>
          <w:tcPr>
            <w:tcW w:w="160" w:type="dxa"/>
            <w:vAlign w:val="bottom"/>
          </w:tcPr>
          <w:p>
            <w:pPr>
              <w:spacing w:after="0"/>
              <w:rPr>
                <w:sz w:val="24"/>
                <w:szCs w:val="24"/>
                <w:color w:val="auto"/>
              </w:rPr>
            </w:pPr>
          </w:p>
        </w:tc>
        <w:tc>
          <w:tcPr>
            <w:tcW w:w="10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53 Weeks</w:t>
            </w:r>
          </w:p>
        </w:tc>
        <w:tc>
          <w:tcPr>
            <w:tcW w:w="0" w:type="dxa"/>
            <w:vAlign w:val="bottom"/>
          </w:tcPr>
          <w:p>
            <w:pPr>
              <w:spacing w:after="0"/>
              <w:rPr>
                <w:sz w:val="1"/>
                <w:szCs w:val="1"/>
                <w:color w:val="auto"/>
              </w:rPr>
            </w:pPr>
          </w:p>
        </w:tc>
      </w:tr>
      <w:tr>
        <w:trPr>
          <w:trHeight w:val="270"/>
        </w:trPr>
        <w:tc>
          <w:tcPr>
            <w:tcW w:w="5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22"/>
                <w:szCs w:val="22"/>
                <w:b w:val="1"/>
                <w:bCs w:val="1"/>
                <w:color w:val="auto"/>
                <w:w w:val="98"/>
              </w:rPr>
              <w:t>Ended</w:t>
            </w:r>
          </w:p>
        </w:tc>
        <w:tc>
          <w:tcPr>
            <w:tcW w:w="260" w:type="dxa"/>
            <w:vAlign w:val="bottom"/>
          </w:tcPr>
          <w:p>
            <w:pPr>
              <w:spacing w:after="0"/>
              <w:rPr>
                <w:sz w:val="23"/>
                <w:szCs w:val="23"/>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22"/>
                <w:szCs w:val="22"/>
                <w:b w:val="1"/>
                <w:bCs w:val="1"/>
                <w:color w:val="auto"/>
                <w:w w:val="98"/>
              </w:rPr>
              <w:t>Ended</w:t>
            </w:r>
          </w:p>
        </w:tc>
        <w:tc>
          <w:tcPr>
            <w:tcW w:w="160" w:type="dxa"/>
            <w:vAlign w:val="bottom"/>
          </w:tcPr>
          <w:p>
            <w:pPr>
              <w:spacing w:after="0"/>
              <w:rPr>
                <w:sz w:val="23"/>
                <w:szCs w:val="23"/>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22"/>
                <w:szCs w:val="22"/>
                <w:b w:val="1"/>
                <w:bCs w:val="1"/>
                <w:color w:val="auto"/>
                <w:w w:val="98"/>
              </w:rPr>
              <w:t>Ended</w:t>
            </w:r>
          </w:p>
        </w:tc>
        <w:tc>
          <w:tcPr>
            <w:tcW w:w="160" w:type="dxa"/>
            <w:vAlign w:val="bottom"/>
          </w:tcPr>
          <w:p>
            <w:pPr>
              <w:spacing w:after="0"/>
              <w:rPr>
                <w:sz w:val="23"/>
                <w:szCs w:val="23"/>
                <w:color w:val="auto"/>
              </w:rPr>
            </w:pPr>
          </w:p>
        </w:tc>
        <w:tc>
          <w:tcPr>
            <w:tcW w:w="10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8"/>
              </w:rPr>
              <w:t>Ended</w:t>
            </w:r>
          </w:p>
        </w:tc>
        <w:tc>
          <w:tcPr>
            <w:tcW w:w="0" w:type="dxa"/>
            <w:vAlign w:val="bottom"/>
          </w:tcPr>
          <w:p>
            <w:pPr>
              <w:spacing w:after="0"/>
              <w:rPr>
                <w:sz w:val="1"/>
                <w:szCs w:val="1"/>
                <w:color w:val="auto"/>
              </w:rPr>
            </w:pPr>
          </w:p>
        </w:tc>
      </w:tr>
      <w:tr>
        <w:trPr>
          <w:trHeight w:val="243"/>
        </w:trPr>
        <w:tc>
          <w:tcPr>
            <w:tcW w:w="5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3"/>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w w:val="99"/>
              </w:rPr>
              <w:t>August 30,</w:t>
            </w:r>
          </w:p>
        </w:tc>
        <w:tc>
          <w:tcPr>
            <w:tcW w:w="1240" w:type="dxa"/>
            <w:vAlign w:val="bottom"/>
            <w:gridSpan w:val="2"/>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August 31,</w:t>
            </w:r>
          </w:p>
        </w:tc>
        <w:tc>
          <w:tcPr>
            <w:tcW w:w="0" w:type="dxa"/>
            <w:vAlign w:val="bottom"/>
          </w:tcPr>
          <w:p>
            <w:pPr>
              <w:spacing w:after="0"/>
              <w:rPr>
                <w:sz w:val="1"/>
                <w:szCs w:val="1"/>
                <w:color w:val="auto"/>
              </w:rPr>
            </w:pPr>
          </w:p>
        </w:tc>
      </w:tr>
      <w:tr>
        <w:trPr>
          <w:trHeight w:val="287"/>
        </w:trPr>
        <w:tc>
          <w:tcPr>
            <w:tcW w:w="5280" w:type="dxa"/>
            <w:vAlign w:val="bottom"/>
          </w:tcPr>
          <w:p>
            <w:pPr>
              <w:spacing w:after="0"/>
              <w:rPr>
                <w:sz w:val="24"/>
                <w:szCs w:val="24"/>
                <w:color w:val="auto"/>
              </w:rPr>
            </w:pPr>
          </w:p>
        </w:tc>
        <w:tc>
          <w:tcPr>
            <w:tcW w:w="1640" w:type="dxa"/>
            <w:vAlign w:val="bottom"/>
            <w:gridSpan w:val="3"/>
          </w:tcPr>
          <w:p>
            <w:pPr>
              <w:jc w:val="center"/>
              <w:ind w:right="120"/>
              <w:spacing w:after="0"/>
              <w:rPr>
                <w:sz w:val="20"/>
                <w:szCs w:val="20"/>
                <w:color w:val="auto"/>
              </w:rPr>
            </w:pPr>
            <w:r>
              <w:rPr>
                <w:rFonts w:ascii="Times New Roman" w:cs="Times New Roman" w:eastAsia="Times New Roman" w:hAnsi="Times New Roman"/>
                <w:sz w:val="22"/>
                <w:szCs w:val="22"/>
                <w:b w:val="1"/>
                <w:bCs w:val="1"/>
                <w:color w:val="auto"/>
                <w:w w:val="98"/>
              </w:rPr>
              <w:t>August 30, 2025</w:t>
            </w: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8"/>
              </w:rPr>
              <w:t>August 31, 2024</w:t>
            </w:r>
          </w:p>
        </w:tc>
        <w:tc>
          <w:tcPr>
            <w:tcW w:w="160" w:type="dxa"/>
            <w:vAlign w:val="bottom"/>
          </w:tcPr>
          <w:p>
            <w:pPr>
              <w:spacing w:after="0"/>
              <w:rPr>
                <w:sz w:val="24"/>
                <w:szCs w:val="24"/>
                <w:color w:val="auto"/>
              </w:rPr>
            </w:pPr>
          </w:p>
        </w:tc>
        <w:tc>
          <w:tcPr>
            <w:tcW w:w="10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2025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2024</w:t>
            </w:r>
          </w:p>
        </w:tc>
        <w:tc>
          <w:tcPr>
            <w:tcW w:w="0" w:type="dxa"/>
            <w:vAlign w:val="bottom"/>
          </w:tcPr>
          <w:p>
            <w:pPr>
              <w:spacing w:after="0"/>
              <w:rPr>
                <w:sz w:val="1"/>
                <w:szCs w:val="1"/>
                <w:color w:val="auto"/>
              </w:rPr>
            </w:pPr>
          </w:p>
        </w:tc>
      </w:tr>
      <w:tr>
        <w:trPr>
          <w:trHeight w:val="533"/>
        </w:trPr>
        <w:tc>
          <w:tcPr>
            <w:tcW w:w="5280" w:type="dxa"/>
            <w:vAlign w:val="bottom"/>
          </w:tcPr>
          <w:p>
            <w:pPr>
              <w:spacing w:after="0"/>
              <w:rPr>
                <w:sz w:val="20"/>
                <w:szCs w:val="20"/>
                <w:color w:val="auto"/>
              </w:rPr>
            </w:pPr>
            <w:r>
              <w:rPr>
                <w:rFonts w:ascii="Times New Roman" w:cs="Times New Roman" w:eastAsia="Times New Roman" w:hAnsi="Times New Roman"/>
                <w:sz w:val="22"/>
                <w:szCs w:val="22"/>
                <w:color w:val="auto"/>
              </w:rPr>
              <w:t>Depreciation and amortization</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197,412</w:t>
            </w:r>
          </w:p>
        </w:tc>
        <w:tc>
          <w:tcPr>
            <w:tcW w:w="120" w:type="dxa"/>
            <w:vAlign w:val="bottom"/>
          </w:tcPr>
          <w:p>
            <w:pPr>
              <w:spacing w:after="0"/>
              <w:rPr>
                <w:sz w:val="24"/>
                <w:szCs w:val="24"/>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175,339</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613,199</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549,755</w:t>
            </w:r>
          </w:p>
        </w:tc>
        <w:tc>
          <w:tcPr>
            <w:tcW w:w="0" w:type="dxa"/>
            <w:vAlign w:val="bottom"/>
          </w:tcPr>
          <w:p>
            <w:pPr>
              <w:spacing w:after="0"/>
              <w:rPr>
                <w:sz w:val="1"/>
                <w:szCs w:val="1"/>
                <w:color w:val="auto"/>
              </w:rPr>
            </w:pPr>
          </w:p>
        </w:tc>
      </w:tr>
      <w:tr>
        <w:trPr>
          <w:trHeight w:val="540"/>
        </w:trPr>
        <w:tc>
          <w:tcPr>
            <w:tcW w:w="5280" w:type="dxa"/>
            <w:vAlign w:val="bottom"/>
          </w:tcPr>
          <w:p>
            <w:pPr>
              <w:spacing w:after="0"/>
              <w:rPr>
                <w:sz w:val="20"/>
                <w:szCs w:val="20"/>
                <w:color w:val="auto"/>
              </w:rPr>
            </w:pPr>
            <w:r>
              <w:rPr>
                <w:rFonts w:ascii="Times New Roman" w:cs="Times New Roman" w:eastAsia="Times New Roman" w:hAnsi="Times New Roman"/>
                <w:sz w:val="22"/>
                <w:szCs w:val="22"/>
                <w:color w:val="auto"/>
              </w:rPr>
              <w:t>Cash flow from operations</w:t>
            </w: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990,819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1,070,250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3,155,401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3,004,116</w:t>
            </w:r>
          </w:p>
        </w:tc>
        <w:tc>
          <w:tcPr>
            <w:tcW w:w="0" w:type="dxa"/>
            <w:vAlign w:val="bottom"/>
          </w:tcPr>
          <w:p>
            <w:pPr>
              <w:spacing w:after="0"/>
              <w:rPr>
                <w:sz w:val="1"/>
                <w:szCs w:val="1"/>
                <w:color w:val="auto"/>
              </w:rPr>
            </w:pPr>
          </w:p>
        </w:tc>
      </w:tr>
      <w:tr>
        <w:trPr>
          <w:trHeight w:val="540"/>
        </w:trPr>
        <w:tc>
          <w:tcPr>
            <w:tcW w:w="5280" w:type="dxa"/>
            <w:vAlign w:val="bottom"/>
          </w:tcPr>
          <w:p>
            <w:pPr>
              <w:spacing w:after="0"/>
              <w:rPr>
                <w:sz w:val="20"/>
                <w:szCs w:val="20"/>
                <w:color w:val="auto"/>
              </w:rPr>
            </w:pPr>
            <w:r>
              <w:rPr>
                <w:rFonts w:ascii="Times New Roman" w:cs="Times New Roman" w:eastAsia="Times New Roman" w:hAnsi="Times New Roman"/>
                <w:sz w:val="22"/>
                <w:szCs w:val="22"/>
                <w:color w:val="auto"/>
              </w:rPr>
              <w:t>Capital spending</w:t>
            </w: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479,698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346,786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1,365,321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1,072,696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AutoZone's 4th Quarter Highlights - Fiscal 2025</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Operations</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Selected Operating Highlights</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42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Store Count &amp; Square Footage</w:t>
            </w:r>
          </w:p>
        </w:tc>
        <w:tc>
          <w:tcPr>
            <w:tcW w:w="1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9"/>
        </w:trPr>
        <w:tc>
          <w:tcPr>
            <w:tcW w:w="2840" w:type="dxa"/>
            <w:vAlign w:val="bottom"/>
            <w:tcBorders>
              <w:top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22"/>
                <w:szCs w:val="22"/>
                <w:b w:val="1"/>
                <w:bCs w:val="1"/>
                <w:color w:val="auto"/>
                <w:w w:val="95"/>
              </w:rPr>
              <w:t>16 Weeks</w:t>
            </w:r>
          </w:p>
        </w:tc>
        <w:tc>
          <w:tcPr>
            <w:tcW w:w="1780" w:type="dxa"/>
            <w:vAlign w:val="bottom"/>
            <w:gridSpan w:val="2"/>
          </w:tcPr>
          <w:p>
            <w:pPr>
              <w:jc w:val="center"/>
              <w:ind w:right="240"/>
              <w:spacing w:after="0"/>
              <w:rPr>
                <w:sz w:val="20"/>
                <w:szCs w:val="20"/>
                <w:color w:val="auto"/>
              </w:rPr>
            </w:pPr>
            <w:r>
              <w:rPr>
                <w:rFonts w:ascii="Times New Roman" w:cs="Times New Roman" w:eastAsia="Times New Roman" w:hAnsi="Times New Roman"/>
                <w:sz w:val="22"/>
                <w:szCs w:val="22"/>
                <w:b w:val="1"/>
                <w:bCs w:val="1"/>
                <w:color w:val="auto"/>
                <w:w w:val="95"/>
              </w:rPr>
              <w:t>17 Weeks</w:t>
            </w: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8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22"/>
                <w:szCs w:val="22"/>
                <w:b w:val="1"/>
                <w:bCs w:val="1"/>
                <w:color w:val="auto"/>
                <w:w w:val="98"/>
              </w:rPr>
              <w:t>Ended</w:t>
            </w: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22"/>
                <w:szCs w:val="22"/>
                <w:b w:val="1"/>
                <w:bCs w:val="1"/>
                <w:color w:val="auto"/>
                <w:w w:val="98"/>
              </w:rPr>
              <w:t>Ended</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52 Weeks Ended</w:t>
            </w: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w w:val="97"/>
              </w:rPr>
              <w:t>53 Weeks Ended</w:t>
            </w:r>
          </w:p>
        </w:tc>
        <w:tc>
          <w:tcPr>
            <w:tcW w:w="0" w:type="dxa"/>
            <w:vAlign w:val="bottom"/>
          </w:tcPr>
          <w:p>
            <w:pPr>
              <w:spacing w:after="0"/>
              <w:rPr>
                <w:sz w:val="1"/>
                <w:szCs w:val="1"/>
                <w:color w:val="auto"/>
              </w:rPr>
            </w:pPr>
          </w:p>
        </w:tc>
      </w:tr>
      <w:tr>
        <w:trPr>
          <w:trHeight w:val="287"/>
        </w:trPr>
        <w:tc>
          <w:tcPr>
            <w:tcW w:w="422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b w:val="1"/>
                <w:bCs w:val="1"/>
                <w:color w:val="auto"/>
              </w:rPr>
              <w:t>Domestic:</w:t>
            </w: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22"/>
                <w:szCs w:val="22"/>
                <w:b w:val="1"/>
                <w:bCs w:val="1"/>
                <w:color w:val="auto"/>
                <w:w w:val="97"/>
              </w:rPr>
              <w:t>August 30, 2025</w:t>
            </w:r>
          </w:p>
        </w:tc>
        <w:tc>
          <w:tcPr>
            <w:tcW w:w="1780" w:type="dxa"/>
            <w:vAlign w:val="bottom"/>
            <w:gridSpan w:val="2"/>
          </w:tcPr>
          <w:p>
            <w:pPr>
              <w:jc w:val="center"/>
              <w:ind w:right="240"/>
              <w:spacing w:after="0"/>
              <w:rPr>
                <w:sz w:val="20"/>
                <w:szCs w:val="20"/>
                <w:color w:val="auto"/>
              </w:rPr>
            </w:pPr>
            <w:r>
              <w:rPr>
                <w:rFonts w:ascii="Times New Roman" w:cs="Times New Roman" w:eastAsia="Times New Roman" w:hAnsi="Times New Roman"/>
                <w:sz w:val="22"/>
                <w:szCs w:val="22"/>
                <w:b w:val="1"/>
                <w:bCs w:val="1"/>
                <w:color w:val="auto"/>
                <w:w w:val="97"/>
              </w:rPr>
              <w:t>August 31, 2024</w:t>
            </w:r>
          </w:p>
        </w:tc>
        <w:tc>
          <w:tcPr>
            <w:tcW w:w="180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August 30, 2025</w:t>
            </w: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August 31, 2024</w:t>
            </w:r>
          </w:p>
        </w:tc>
        <w:tc>
          <w:tcPr>
            <w:tcW w:w="0" w:type="dxa"/>
            <w:vAlign w:val="bottom"/>
          </w:tcPr>
          <w:p>
            <w:pPr>
              <w:spacing w:after="0"/>
              <w:rPr>
                <w:sz w:val="1"/>
                <w:szCs w:val="1"/>
                <w:color w:val="auto"/>
              </w:rPr>
            </w:pPr>
          </w:p>
        </w:tc>
      </w:tr>
      <w:tr>
        <w:trPr>
          <w:trHeight w:val="250"/>
        </w:trPr>
        <w:tc>
          <w:tcPr>
            <w:tcW w:w="4220" w:type="dxa"/>
            <w:vAlign w:val="bottom"/>
            <w:gridSpan w:val="2"/>
            <w:vMerge w:val="continue"/>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22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Beginning stores</w:t>
            </w:r>
          </w:p>
        </w:tc>
        <w:tc>
          <w:tcPr>
            <w:tcW w:w="15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6,537</w:t>
            </w:r>
          </w:p>
        </w:tc>
        <w:tc>
          <w:tcPr>
            <w:tcW w:w="240" w:type="dxa"/>
            <w:vAlign w:val="bottom"/>
          </w:tcPr>
          <w:p>
            <w:pPr>
              <w:spacing w:after="0"/>
              <w:rPr>
                <w:sz w:val="23"/>
                <w:szCs w:val="23"/>
                <w:color w:val="auto"/>
              </w:rPr>
            </w:pPr>
          </w:p>
        </w:tc>
        <w:tc>
          <w:tcPr>
            <w:tcW w:w="15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6,364</w:t>
            </w:r>
          </w:p>
        </w:tc>
        <w:tc>
          <w:tcPr>
            <w:tcW w:w="240" w:type="dxa"/>
            <w:vAlign w:val="bottom"/>
          </w:tcPr>
          <w:p>
            <w:pPr>
              <w:spacing w:after="0"/>
              <w:rPr>
                <w:sz w:val="23"/>
                <w:szCs w:val="23"/>
                <w:color w:val="auto"/>
              </w:rPr>
            </w:pPr>
          </w:p>
        </w:tc>
        <w:tc>
          <w:tcPr>
            <w:tcW w:w="158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6,432</w:t>
            </w:r>
          </w:p>
        </w:tc>
        <w:tc>
          <w:tcPr>
            <w:tcW w:w="220" w:type="dxa"/>
            <w:vAlign w:val="bottom"/>
          </w:tcPr>
          <w:p>
            <w:pPr>
              <w:spacing w:after="0"/>
              <w:rPr>
                <w:sz w:val="23"/>
                <w:szCs w:val="23"/>
                <w:color w:val="auto"/>
              </w:rPr>
            </w:pPr>
          </w:p>
        </w:tc>
        <w:tc>
          <w:tcPr>
            <w:tcW w:w="158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6,300</w:t>
            </w:r>
          </w:p>
        </w:tc>
        <w:tc>
          <w:tcPr>
            <w:tcW w:w="0" w:type="dxa"/>
            <w:vAlign w:val="bottom"/>
          </w:tcPr>
          <w:p>
            <w:pPr>
              <w:spacing w:after="0"/>
              <w:rPr>
                <w:sz w:val="1"/>
                <w:szCs w:val="1"/>
                <w:color w:val="auto"/>
              </w:rPr>
            </w:pPr>
          </w:p>
        </w:tc>
      </w:tr>
      <w:tr>
        <w:trPr>
          <w:trHeight w:val="270"/>
        </w:trPr>
        <w:tc>
          <w:tcPr>
            <w:tcW w:w="422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Stores opened</w:t>
            </w:r>
          </w:p>
        </w:tc>
        <w:tc>
          <w:tcPr>
            <w:tcW w:w="15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91</w:t>
            </w:r>
          </w:p>
        </w:tc>
        <w:tc>
          <w:tcPr>
            <w:tcW w:w="240" w:type="dxa"/>
            <w:vAlign w:val="bottom"/>
          </w:tcPr>
          <w:p>
            <w:pPr>
              <w:spacing w:after="0"/>
              <w:rPr>
                <w:sz w:val="23"/>
                <w:szCs w:val="23"/>
                <w:color w:val="auto"/>
              </w:rPr>
            </w:pPr>
          </w:p>
        </w:tc>
        <w:tc>
          <w:tcPr>
            <w:tcW w:w="15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68</w:t>
            </w:r>
          </w:p>
        </w:tc>
        <w:tc>
          <w:tcPr>
            <w:tcW w:w="240" w:type="dxa"/>
            <w:vAlign w:val="bottom"/>
          </w:tcPr>
          <w:p>
            <w:pPr>
              <w:spacing w:after="0"/>
              <w:rPr>
                <w:sz w:val="23"/>
                <w:szCs w:val="23"/>
                <w:color w:val="auto"/>
              </w:rPr>
            </w:pPr>
          </w:p>
        </w:tc>
        <w:tc>
          <w:tcPr>
            <w:tcW w:w="158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196</w:t>
            </w:r>
          </w:p>
        </w:tc>
        <w:tc>
          <w:tcPr>
            <w:tcW w:w="220" w:type="dxa"/>
            <w:vAlign w:val="bottom"/>
          </w:tcPr>
          <w:p>
            <w:pPr>
              <w:spacing w:after="0"/>
              <w:rPr>
                <w:sz w:val="23"/>
                <w:szCs w:val="23"/>
                <w:color w:val="auto"/>
              </w:rPr>
            </w:pPr>
          </w:p>
        </w:tc>
        <w:tc>
          <w:tcPr>
            <w:tcW w:w="158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136</w:t>
            </w:r>
          </w:p>
        </w:tc>
        <w:tc>
          <w:tcPr>
            <w:tcW w:w="0" w:type="dxa"/>
            <w:vAlign w:val="bottom"/>
          </w:tcPr>
          <w:p>
            <w:pPr>
              <w:spacing w:after="0"/>
              <w:rPr>
                <w:sz w:val="1"/>
                <w:szCs w:val="1"/>
                <w:color w:val="auto"/>
              </w:rPr>
            </w:pPr>
          </w:p>
        </w:tc>
      </w:tr>
      <w:tr>
        <w:trPr>
          <w:trHeight w:val="282"/>
        </w:trPr>
        <w:tc>
          <w:tcPr>
            <w:tcW w:w="422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Stores closed</w:t>
            </w:r>
          </w:p>
        </w:tc>
        <w:tc>
          <w:tcPr>
            <w:tcW w:w="15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w:t>
            </w:r>
          </w:p>
        </w:tc>
        <w:tc>
          <w:tcPr>
            <w:tcW w:w="240" w:type="dxa"/>
            <w:vAlign w:val="bottom"/>
          </w:tcPr>
          <w:p>
            <w:pPr>
              <w:spacing w:after="0"/>
              <w:rPr>
                <w:sz w:val="24"/>
                <w:szCs w:val="24"/>
                <w:color w:val="auto"/>
              </w:rPr>
            </w:pPr>
          </w:p>
        </w:tc>
        <w:tc>
          <w:tcPr>
            <w:tcW w:w="15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240" w:type="dxa"/>
            <w:vAlign w:val="bottom"/>
          </w:tcPr>
          <w:p>
            <w:pPr>
              <w:spacing w:after="0"/>
              <w:rPr>
                <w:sz w:val="24"/>
                <w:szCs w:val="24"/>
                <w:color w:val="auto"/>
              </w:rPr>
            </w:pPr>
          </w:p>
        </w:tc>
        <w:tc>
          <w:tcPr>
            <w:tcW w:w="1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(1)</w:t>
            </w:r>
          </w:p>
        </w:tc>
        <w:tc>
          <w:tcPr>
            <w:tcW w:w="220" w:type="dxa"/>
            <w:vAlign w:val="bottom"/>
          </w:tcPr>
          <w:p>
            <w:pPr>
              <w:spacing w:after="0"/>
              <w:rPr>
                <w:sz w:val="24"/>
                <w:szCs w:val="24"/>
                <w:color w:val="auto"/>
              </w:rPr>
            </w:pPr>
          </w:p>
        </w:tc>
        <w:tc>
          <w:tcPr>
            <w:tcW w:w="1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(4)</w:t>
            </w:r>
          </w:p>
        </w:tc>
        <w:tc>
          <w:tcPr>
            <w:tcW w:w="0" w:type="dxa"/>
            <w:vAlign w:val="bottom"/>
          </w:tcPr>
          <w:p>
            <w:pPr>
              <w:spacing w:after="0"/>
              <w:rPr>
                <w:sz w:val="1"/>
                <w:szCs w:val="1"/>
                <w:color w:val="auto"/>
              </w:rPr>
            </w:pPr>
          </w:p>
        </w:tc>
      </w:tr>
      <w:tr>
        <w:trPr>
          <w:trHeight w:val="277"/>
        </w:trPr>
        <w:tc>
          <w:tcPr>
            <w:tcW w:w="422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Ending domestic stores</w:t>
            </w:r>
          </w:p>
        </w:tc>
        <w:tc>
          <w:tcPr>
            <w:tcW w:w="15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6,627</w:t>
            </w:r>
          </w:p>
        </w:tc>
        <w:tc>
          <w:tcPr>
            <w:tcW w:w="240" w:type="dxa"/>
            <w:vAlign w:val="bottom"/>
          </w:tcPr>
          <w:p>
            <w:pPr>
              <w:spacing w:after="0"/>
              <w:rPr>
                <w:sz w:val="24"/>
                <w:szCs w:val="24"/>
                <w:color w:val="auto"/>
              </w:rPr>
            </w:pPr>
          </w:p>
        </w:tc>
        <w:tc>
          <w:tcPr>
            <w:tcW w:w="15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6,432</w:t>
            </w:r>
          </w:p>
        </w:tc>
        <w:tc>
          <w:tcPr>
            <w:tcW w:w="240" w:type="dxa"/>
            <w:vAlign w:val="bottom"/>
          </w:tcPr>
          <w:p>
            <w:pPr>
              <w:spacing w:after="0"/>
              <w:rPr>
                <w:sz w:val="24"/>
                <w:szCs w:val="24"/>
                <w:color w:val="auto"/>
              </w:rPr>
            </w:pPr>
          </w:p>
        </w:tc>
        <w:tc>
          <w:tcPr>
            <w:tcW w:w="158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6,627</w:t>
            </w:r>
          </w:p>
        </w:tc>
        <w:tc>
          <w:tcPr>
            <w:tcW w:w="220" w:type="dxa"/>
            <w:vAlign w:val="bottom"/>
          </w:tcPr>
          <w:p>
            <w:pPr>
              <w:spacing w:after="0"/>
              <w:rPr>
                <w:sz w:val="24"/>
                <w:szCs w:val="24"/>
                <w:color w:val="auto"/>
              </w:rPr>
            </w:pPr>
          </w:p>
        </w:tc>
        <w:tc>
          <w:tcPr>
            <w:tcW w:w="158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6,432</w:t>
            </w:r>
          </w:p>
        </w:tc>
        <w:tc>
          <w:tcPr>
            <w:tcW w:w="0" w:type="dxa"/>
            <w:vAlign w:val="bottom"/>
          </w:tcPr>
          <w:p>
            <w:pPr>
              <w:spacing w:after="0"/>
              <w:rPr>
                <w:sz w:val="1"/>
                <w:szCs w:val="1"/>
                <w:color w:val="auto"/>
              </w:rPr>
            </w:pPr>
          </w:p>
        </w:tc>
      </w:tr>
      <w:tr>
        <w:trPr>
          <w:trHeight w:val="526"/>
        </w:trPr>
        <w:tc>
          <w:tcPr>
            <w:tcW w:w="422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Relocated stores</w:t>
            </w:r>
          </w:p>
        </w:tc>
        <w:tc>
          <w:tcPr>
            <w:tcW w:w="15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w:t>
            </w:r>
          </w:p>
        </w:tc>
        <w:tc>
          <w:tcPr>
            <w:tcW w:w="240" w:type="dxa"/>
            <w:vAlign w:val="bottom"/>
          </w:tcPr>
          <w:p>
            <w:pPr>
              <w:spacing w:after="0"/>
              <w:rPr>
                <w:sz w:val="24"/>
                <w:szCs w:val="24"/>
                <w:color w:val="auto"/>
              </w:rPr>
            </w:pPr>
          </w:p>
        </w:tc>
        <w:tc>
          <w:tcPr>
            <w:tcW w:w="15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w:t>
            </w:r>
          </w:p>
        </w:tc>
        <w:tc>
          <w:tcPr>
            <w:tcW w:w="240" w:type="dxa"/>
            <w:vAlign w:val="bottom"/>
          </w:tcPr>
          <w:p>
            <w:pPr>
              <w:spacing w:after="0"/>
              <w:rPr>
                <w:sz w:val="24"/>
                <w:szCs w:val="24"/>
                <w:color w:val="auto"/>
              </w:rPr>
            </w:pPr>
          </w:p>
        </w:tc>
        <w:tc>
          <w:tcPr>
            <w:tcW w:w="158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9</w:t>
            </w:r>
          </w:p>
        </w:tc>
        <w:tc>
          <w:tcPr>
            <w:tcW w:w="220" w:type="dxa"/>
            <w:vAlign w:val="bottom"/>
          </w:tcPr>
          <w:p>
            <w:pPr>
              <w:spacing w:after="0"/>
              <w:rPr>
                <w:sz w:val="24"/>
                <w:szCs w:val="24"/>
                <w:color w:val="auto"/>
              </w:rPr>
            </w:pPr>
          </w:p>
        </w:tc>
        <w:tc>
          <w:tcPr>
            <w:tcW w:w="158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540"/>
        </w:trPr>
        <w:tc>
          <w:tcPr>
            <w:tcW w:w="422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Stores with commercial programs</w:t>
            </w:r>
          </w:p>
        </w:tc>
        <w:tc>
          <w:tcPr>
            <w:tcW w:w="15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6,098</w:t>
            </w:r>
          </w:p>
        </w:tc>
        <w:tc>
          <w:tcPr>
            <w:tcW w:w="240" w:type="dxa"/>
            <w:vAlign w:val="bottom"/>
          </w:tcPr>
          <w:p>
            <w:pPr>
              <w:spacing w:after="0"/>
              <w:rPr>
                <w:sz w:val="24"/>
                <w:szCs w:val="24"/>
                <w:color w:val="auto"/>
              </w:rPr>
            </w:pPr>
          </w:p>
        </w:tc>
        <w:tc>
          <w:tcPr>
            <w:tcW w:w="15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5,898</w:t>
            </w:r>
          </w:p>
        </w:tc>
        <w:tc>
          <w:tcPr>
            <w:tcW w:w="240" w:type="dxa"/>
            <w:vAlign w:val="bottom"/>
          </w:tcPr>
          <w:p>
            <w:pPr>
              <w:spacing w:after="0"/>
              <w:rPr>
                <w:sz w:val="24"/>
                <w:szCs w:val="24"/>
                <w:color w:val="auto"/>
              </w:rPr>
            </w:pPr>
          </w:p>
        </w:tc>
        <w:tc>
          <w:tcPr>
            <w:tcW w:w="158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6,098</w:t>
            </w:r>
          </w:p>
        </w:tc>
        <w:tc>
          <w:tcPr>
            <w:tcW w:w="220" w:type="dxa"/>
            <w:vAlign w:val="bottom"/>
          </w:tcPr>
          <w:p>
            <w:pPr>
              <w:spacing w:after="0"/>
              <w:rPr>
                <w:sz w:val="24"/>
                <w:szCs w:val="24"/>
                <w:color w:val="auto"/>
              </w:rPr>
            </w:pPr>
          </w:p>
        </w:tc>
        <w:tc>
          <w:tcPr>
            <w:tcW w:w="158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5,898</w:t>
            </w:r>
          </w:p>
        </w:tc>
        <w:tc>
          <w:tcPr>
            <w:tcW w:w="0" w:type="dxa"/>
            <w:vAlign w:val="bottom"/>
          </w:tcPr>
          <w:p>
            <w:pPr>
              <w:spacing w:after="0"/>
              <w:rPr>
                <w:sz w:val="1"/>
                <w:szCs w:val="1"/>
                <w:color w:val="auto"/>
              </w:rPr>
            </w:pPr>
          </w:p>
        </w:tc>
      </w:tr>
    </w:tbl>
    <w:p>
      <w:pPr>
        <w:sectPr>
          <w:pgSz w:w="11900" w:h="16838" w:orient="portrait"/>
          <w:cols w:equalWidth="0" w:num="1">
            <w:col w:w="11140"/>
          </w:cols>
          <w:pgMar w:left="320" w:top="378" w:right="439" w:bottom="0" w:gutter="0" w:footer="0" w:header="0"/>
        </w:sectPr>
      </w:pPr>
    </w:p>
    <w:bookmarkStart w:id="9" w:name="page10"/>
    <w:bookmarkEnd w:id="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22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Square footage (in thousands)</w:t>
            </w:r>
          </w:p>
        </w:tc>
        <w:tc>
          <w:tcPr>
            <w:tcW w:w="220" w:type="dxa"/>
            <w:vAlign w:val="bottom"/>
          </w:tcPr>
          <w:p>
            <w:pPr>
              <w:spacing w:after="0"/>
              <w:rPr>
                <w:sz w:val="24"/>
                <w:szCs w:val="24"/>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44,138</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right"/>
              <w:ind w:right="93"/>
              <w:spacing w:after="0"/>
              <w:rPr>
                <w:sz w:val="20"/>
                <w:szCs w:val="20"/>
                <w:color w:val="auto"/>
              </w:rPr>
            </w:pPr>
            <w:r>
              <w:rPr>
                <w:rFonts w:ascii="Times New Roman" w:cs="Times New Roman" w:eastAsia="Times New Roman" w:hAnsi="Times New Roman"/>
                <w:sz w:val="22"/>
                <w:szCs w:val="22"/>
                <w:color w:val="auto"/>
              </w:rPr>
              <w:t>42,555</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44,138</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right"/>
              <w:ind w:right="173"/>
              <w:spacing w:after="0"/>
              <w:rPr>
                <w:sz w:val="20"/>
                <w:szCs w:val="20"/>
                <w:color w:val="auto"/>
              </w:rPr>
            </w:pPr>
            <w:r>
              <w:rPr>
                <w:rFonts w:ascii="Times New Roman" w:cs="Times New Roman" w:eastAsia="Times New Roman" w:hAnsi="Times New Roman"/>
                <w:sz w:val="22"/>
                <w:szCs w:val="22"/>
                <w:color w:val="auto"/>
              </w:rPr>
              <w:t>42,555</w:t>
            </w:r>
          </w:p>
        </w:tc>
        <w:tc>
          <w:tcPr>
            <w:tcW w:w="0" w:type="dxa"/>
            <w:vAlign w:val="bottom"/>
          </w:tcPr>
          <w:p>
            <w:pPr>
              <w:spacing w:after="0"/>
              <w:rPr>
                <w:sz w:val="1"/>
                <w:szCs w:val="1"/>
                <w:color w:val="auto"/>
              </w:rPr>
            </w:pPr>
          </w:p>
        </w:tc>
      </w:tr>
      <w:tr>
        <w:trPr>
          <w:trHeight w:val="528"/>
        </w:trPr>
        <w:tc>
          <w:tcPr>
            <w:tcW w:w="42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Mexico:</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2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Beginning stores</w:t>
            </w:r>
          </w:p>
        </w:tc>
        <w:tc>
          <w:tcPr>
            <w:tcW w:w="220" w:type="dxa"/>
            <w:vAlign w:val="bottom"/>
          </w:tcPr>
          <w:p>
            <w:pPr>
              <w:spacing w:after="0"/>
              <w:rPr>
                <w:sz w:val="23"/>
                <w:szCs w:val="23"/>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838</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jc w:val="right"/>
              <w:ind w:right="93"/>
              <w:spacing w:after="0"/>
              <w:rPr>
                <w:sz w:val="20"/>
                <w:szCs w:val="20"/>
                <w:color w:val="auto"/>
              </w:rPr>
            </w:pPr>
            <w:r>
              <w:rPr>
                <w:rFonts w:ascii="Times New Roman" w:cs="Times New Roman" w:eastAsia="Times New Roman" w:hAnsi="Times New Roman"/>
                <w:sz w:val="22"/>
                <w:szCs w:val="22"/>
                <w:color w:val="auto"/>
              </w:rPr>
              <w:t>763</w:t>
            </w: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794</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ind w:right="173"/>
              <w:spacing w:after="0"/>
              <w:rPr>
                <w:sz w:val="20"/>
                <w:szCs w:val="20"/>
                <w:color w:val="auto"/>
              </w:rPr>
            </w:pPr>
            <w:r>
              <w:rPr>
                <w:rFonts w:ascii="Times New Roman" w:cs="Times New Roman" w:eastAsia="Times New Roman" w:hAnsi="Times New Roman"/>
                <w:sz w:val="22"/>
                <w:szCs w:val="22"/>
                <w:color w:val="auto"/>
              </w:rPr>
              <w:t>740</w:t>
            </w:r>
          </w:p>
        </w:tc>
        <w:tc>
          <w:tcPr>
            <w:tcW w:w="0" w:type="dxa"/>
            <w:vAlign w:val="bottom"/>
          </w:tcPr>
          <w:p>
            <w:pPr>
              <w:spacing w:after="0"/>
              <w:rPr>
                <w:sz w:val="1"/>
                <w:szCs w:val="1"/>
                <w:color w:val="auto"/>
              </w:rPr>
            </w:pPr>
          </w:p>
        </w:tc>
      </w:tr>
      <w:tr>
        <w:trPr>
          <w:trHeight w:val="282"/>
        </w:trPr>
        <w:tc>
          <w:tcPr>
            <w:tcW w:w="422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Stores opened</w:t>
            </w: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45</w:t>
            </w: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22"/>
                <w:szCs w:val="22"/>
                <w:color w:val="auto"/>
              </w:rPr>
              <w:t>31</w:t>
            </w:r>
          </w:p>
        </w:tc>
        <w:tc>
          <w:tcPr>
            <w:tcW w:w="2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89</w:t>
            </w: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22"/>
                <w:szCs w:val="22"/>
                <w:color w:val="auto"/>
              </w:rPr>
              <w:t>54</w:t>
            </w:r>
          </w:p>
        </w:tc>
        <w:tc>
          <w:tcPr>
            <w:tcW w:w="0" w:type="dxa"/>
            <w:vAlign w:val="bottom"/>
          </w:tcPr>
          <w:p>
            <w:pPr>
              <w:spacing w:after="0"/>
              <w:rPr>
                <w:sz w:val="1"/>
                <w:szCs w:val="1"/>
                <w:color w:val="auto"/>
              </w:rPr>
            </w:pPr>
          </w:p>
        </w:tc>
      </w:tr>
      <w:tr>
        <w:trPr>
          <w:trHeight w:val="277"/>
        </w:trPr>
        <w:tc>
          <w:tcPr>
            <w:tcW w:w="422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Ending Mexico stores</w:t>
            </w:r>
          </w:p>
        </w:tc>
        <w:tc>
          <w:tcPr>
            <w:tcW w:w="220" w:type="dxa"/>
            <w:vAlign w:val="bottom"/>
          </w:tcPr>
          <w:p>
            <w:pPr>
              <w:spacing w:after="0"/>
              <w:rPr>
                <w:sz w:val="24"/>
                <w:szCs w:val="24"/>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883</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right"/>
              <w:ind w:right="93"/>
              <w:spacing w:after="0"/>
              <w:rPr>
                <w:sz w:val="20"/>
                <w:szCs w:val="20"/>
                <w:color w:val="auto"/>
              </w:rPr>
            </w:pPr>
            <w:r>
              <w:rPr>
                <w:rFonts w:ascii="Times New Roman" w:cs="Times New Roman" w:eastAsia="Times New Roman" w:hAnsi="Times New Roman"/>
                <w:sz w:val="22"/>
                <w:szCs w:val="22"/>
                <w:color w:val="auto"/>
              </w:rPr>
              <w:t>794</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883</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right"/>
              <w:ind w:right="173"/>
              <w:spacing w:after="0"/>
              <w:rPr>
                <w:sz w:val="20"/>
                <w:szCs w:val="20"/>
                <w:color w:val="auto"/>
              </w:rPr>
            </w:pPr>
            <w:r>
              <w:rPr>
                <w:rFonts w:ascii="Times New Roman" w:cs="Times New Roman" w:eastAsia="Times New Roman" w:hAnsi="Times New Roman"/>
                <w:sz w:val="22"/>
                <w:szCs w:val="22"/>
                <w:color w:val="auto"/>
              </w:rPr>
              <w:t>794</w:t>
            </w:r>
          </w:p>
        </w:tc>
        <w:tc>
          <w:tcPr>
            <w:tcW w:w="0" w:type="dxa"/>
            <w:vAlign w:val="bottom"/>
          </w:tcPr>
          <w:p>
            <w:pPr>
              <w:spacing w:after="0"/>
              <w:rPr>
                <w:sz w:val="1"/>
                <w:szCs w:val="1"/>
                <w:color w:val="auto"/>
              </w:rPr>
            </w:pPr>
          </w:p>
        </w:tc>
      </w:tr>
      <w:tr>
        <w:trPr>
          <w:trHeight w:val="514"/>
        </w:trPr>
        <w:tc>
          <w:tcPr>
            <w:tcW w:w="42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Brazil:</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2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Beginning stores</w:t>
            </w:r>
          </w:p>
        </w:tc>
        <w:tc>
          <w:tcPr>
            <w:tcW w:w="220" w:type="dxa"/>
            <w:vAlign w:val="bottom"/>
          </w:tcPr>
          <w:p>
            <w:pPr>
              <w:spacing w:after="0"/>
              <w:rPr>
                <w:sz w:val="23"/>
                <w:szCs w:val="23"/>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141</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jc w:val="right"/>
              <w:ind w:right="93"/>
              <w:spacing w:after="0"/>
              <w:rPr>
                <w:sz w:val="20"/>
                <w:szCs w:val="20"/>
                <w:color w:val="auto"/>
              </w:rPr>
            </w:pPr>
            <w:r>
              <w:rPr>
                <w:rFonts w:ascii="Times New Roman" w:cs="Times New Roman" w:eastAsia="Times New Roman" w:hAnsi="Times New Roman"/>
                <w:sz w:val="22"/>
                <w:szCs w:val="22"/>
                <w:color w:val="auto"/>
              </w:rPr>
              <w:t>109</w:t>
            </w: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127</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ind w:right="173"/>
              <w:spacing w:after="0"/>
              <w:rPr>
                <w:sz w:val="20"/>
                <w:szCs w:val="20"/>
                <w:color w:val="auto"/>
              </w:rPr>
            </w:pPr>
            <w:r>
              <w:rPr>
                <w:rFonts w:ascii="Times New Roman" w:cs="Times New Roman" w:eastAsia="Times New Roman" w:hAnsi="Times New Roman"/>
                <w:sz w:val="22"/>
                <w:szCs w:val="22"/>
                <w:color w:val="auto"/>
              </w:rPr>
              <w:t>100</w:t>
            </w:r>
          </w:p>
        </w:tc>
        <w:tc>
          <w:tcPr>
            <w:tcW w:w="0" w:type="dxa"/>
            <w:vAlign w:val="bottom"/>
          </w:tcPr>
          <w:p>
            <w:pPr>
              <w:spacing w:after="0"/>
              <w:rPr>
                <w:sz w:val="1"/>
                <w:szCs w:val="1"/>
                <w:color w:val="auto"/>
              </w:rPr>
            </w:pPr>
          </w:p>
        </w:tc>
      </w:tr>
      <w:tr>
        <w:trPr>
          <w:trHeight w:val="282"/>
        </w:trPr>
        <w:tc>
          <w:tcPr>
            <w:tcW w:w="422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Stores opened</w:t>
            </w: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6</w:t>
            </w: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22"/>
                <w:szCs w:val="22"/>
                <w:color w:val="auto"/>
              </w:rPr>
              <w:t>18</w:t>
            </w:r>
          </w:p>
        </w:tc>
        <w:tc>
          <w:tcPr>
            <w:tcW w:w="2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20</w:t>
            </w: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22"/>
                <w:szCs w:val="22"/>
                <w:color w:val="auto"/>
              </w:rPr>
              <w:t>27</w:t>
            </w:r>
          </w:p>
        </w:tc>
        <w:tc>
          <w:tcPr>
            <w:tcW w:w="0" w:type="dxa"/>
            <w:vAlign w:val="bottom"/>
          </w:tcPr>
          <w:p>
            <w:pPr>
              <w:spacing w:after="0"/>
              <w:rPr>
                <w:sz w:val="1"/>
                <w:szCs w:val="1"/>
                <w:color w:val="auto"/>
              </w:rPr>
            </w:pPr>
          </w:p>
        </w:tc>
      </w:tr>
      <w:tr>
        <w:trPr>
          <w:trHeight w:val="265"/>
        </w:trPr>
        <w:tc>
          <w:tcPr>
            <w:tcW w:w="422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Ending Brazil stores</w:t>
            </w:r>
          </w:p>
        </w:tc>
        <w:tc>
          <w:tcPr>
            <w:tcW w:w="2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147</w:t>
            </w:r>
          </w:p>
        </w:tc>
        <w:tc>
          <w:tcPr>
            <w:tcW w:w="24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22"/>
                <w:szCs w:val="22"/>
                <w:color w:val="auto"/>
              </w:rPr>
              <w:t>127</w:t>
            </w:r>
          </w:p>
        </w:tc>
        <w:tc>
          <w:tcPr>
            <w:tcW w:w="24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147</w:t>
            </w:r>
          </w:p>
        </w:tc>
        <w:tc>
          <w:tcPr>
            <w:tcW w:w="2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22"/>
                <w:szCs w:val="22"/>
                <w:color w:val="auto"/>
              </w:rPr>
              <w:t>127</w:t>
            </w:r>
          </w:p>
        </w:tc>
        <w:tc>
          <w:tcPr>
            <w:tcW w:w="0" w:type="dxa"/>
            <w:vAlign w:val="bottom"/>
          </w:tcPr>
          <w:p>
            <w:pPr>
              <w:spacing w:after="0"/>
              <w:rPr>
                <w:sz w:val="1"/>
                <w:szCs w:val="1"/>
                <w:color w:val="auto"/>
              </w:rPr>
            </w:pPr>
          </w:p>
        </w:tc>
      </w:tr>
      <w:tr>
        <w:trPr>
          <w:trHeight w:val="534"/>
        </w:trPr>
        <w:tc>
          <w:tcPr>
            <w:tcW w:w="42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Total</w:t>
            </w: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7,657</w:t>
            </w: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22"/>
                <w:szCs w:val="22"/>
                <w:color w:val="auto"/>
              </w:rPr>
              <w:t>7,353</w:t>
            </w:r>
          </w:p>
        </w:tc>
        <w:tc>
          <w:tcPr>
            <w:tcW w:w="2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color w:val="auto"/>
              </w:rPr>
              <w:t>7,657</w:t>
            </w: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22"/>
                <w:szCs w:val="22"/>
                <w:color w:val="auto"/>
              </w:rPr>
              <w:t>7,353</w:t>
            </w: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b w:val="1"/>
                <w:bCs w:val="1"/>
                <w:color w:val="auto"/>
              </w:rPr>
              <w:t>Total Company stores opened, net</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2"/>
        </w:trPr>
        <w:tc>
          <w:tcPr>
            <w:tcW w:w="42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141</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right"/>
              <w:ind w:right="93"/>
              <w:spacing w:after="0"/>
              <w:rPr>
                <w:sz w:val="20"/>
                <w:szCs w:val="20"/>
                <w:color w:val="auto"/>
              </w:rPr>
            </w:pPr>
            <w:r>
              <w:rPr>
                <w:rFonts w:ascii="Times New Roman" w:cs="Times New Roman" w:eastAsia="Times New Roman" w:hAnsi="Times New Roman"/>
                <w:sz w:val="22"/>
                <w:szCs w:val="22"/>
                <w:color w:val="auto"/>
              </w:rPr>
              <w:t>117</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304</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right"/>
              <w:ind w:right="173"/>
              <w:spacing w:after="0"/>
              <w:rPr>
                <w:sz w:val="20"/>
                <w:szCs w:val="20"/>
                <w:color w:val="auto"/>
              </w:rPr>
            </w:pPr>
            <w:r>
              <w:rPr>
                <w:rFonts w:ascii="Times New Roman" w:cs="Times New Roman" w:eastAsia="Times New Roman" w:hAnsi="Times New Roman"/>
                <w:sz w:val="22"/>
                <w:szCs w:val="22"/>
                <w:color w:val="auto"/>
              </w:rPr>
              <w:t>213</w:t>
            </w:r>
          </w:p>
        </w:tc>
        <w:tc>
          <w:tcPr>
            <w:tcW w:w="0" w:type="dxa"/>
            <w:vAlign w:val="bottom"/>
          </w:tcPr>
          <w:p>
            <w:pPr>
              <w:spacing w:after="0"/>
              <w:rPr>
                <w:sz w:val="1"/>
                <w:szCs w:val="1"/>
                <w:color w:val="auto"/>
              </w:rPr>
            </w:pPr>
          </w:p>
        </w:tc>
      </w:tr>
      <w:tr>
        <w:trPr>
          <w:trHeight w:val="528"/>
        </w:trPr>
        <w:tc>
          <w:tcPr>
            <w:tcW w:w="422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Square footage (in thousands)</w:t>
            </w:r>
          </w:p>
        </w:tc>
        <w:tc>
          <w:tcPr>
            <w:tcW w:w="220" w:type="dxa"/>
            <w:vAlign w:val="bottom"/>
          </w:tcPr>
          <w:p>
            <w:pPr>
              <w:spacing w:after="0"/>
              <w:rPr>
                <w:sz w:val="24"/>
                <w:szCs w:val="24"/>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51,818</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right"/>
              <w:ind w:right="93"/>
              <w:spacing w:after="0"/>
              <w:rPr>
                <w:sz w:val="20"/>
                <w:szCs w:val="20"/>
                <w:color w:val="auto"/>
              </w:rPr>
            </w:pPr>
            <w:r>
              <w:rPr>
                <w:rFonts w:ascii="Times New Roman" w:cs="Times New Roman" w:eastAsia="Times New Roman" w:hAnsi="Times New Roman"/>
                <w:sz w:val="22"/>
                <w:szCs w:val="22"/>
                <w:color w:val="auto"/>
              </w:rPr>
              <w:t>49,417</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51,818</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right"/>
              <w:ind w:right="173"/>
              <w:spacing w:after="0"/>
              <w:rPr>
                <w:sz w:val="20"/>
                <w:szCs w:val="20"/>
                <w:color w:val="auto"/>
              </w:rPr>
            </w:pPr>
            <w:r>
              <w:rPr>
                <w:rFonts w:ascii="Times New Roman" w:cs="Times New Roman" w:eastAsia="Times New Roman" w:hAnsi="Times New Roman"/>
                <w:sz w:val="22"/>
                <w:szCs w:val="22"/>
                <w:color w:val="auto"/>
              </w:rPr>
              <w:t>49,417</w:t>
            </w:r>
          </w:p>
        </w:tc>
        <w:tc>
          <w:tcPr>
            <w:tcW w:w="0" w:type="dxa"/>
            <w:vAlign w:val="bottom"/>
          </w:tcPr>
          <w:p>
            <w:pPr>
              <w:spacing w:after="0"/>
              <w:rPr>
                <w:sz w:val="1"/>
                <w:szCs w:val="1"/>
                <w:color w:val="auto"/>
              </w:rPr>
            </w:pPr>
          </w:p>
        </w:tc>
      </w:tr>
      <w:tr>
        <w:trPr>
          <w:trHeight w:val="282"/>
        </w:trPr>
        <w:tc>
          <w:tcPr>
            <w:tcW w:w="422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Square footage per store</w:t>
            </w:r>
          </w:p>
        </w:tc>
        <w:tc>
          <w:tcPr>
            <w:tcW w:w="220" w:type="dxa"/>
            <w:vAlign w:val="bottom"/>
          </w:tcPr>
          <w:p>
            <w:pPr>
              <w:spacing w:after="0"/>
              <w:rPr>
                <w:sz w:val="24"/>
                <w:szCs w:val="24"/>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6,767</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right"/>
              <w:ind w:right="93"/>
              <w:spacing w:after="0"/>
              <w:rPr>
                <w:sz w:val="20"/>
                <w:szCs w:val="20"/>
                <w:color w:val="auto"/>
              </w:rPr>
            </w:pPr>
            <w:r>
              <w:rPr>
                <w:rFonts w:ascii="Times New Roman" w:cs="Times New Roman" w:eastAsia="Times New Roman" w:hAnsi="Times New Roman"/>
                <w:sz w:val="22"/>
                <w:szCs w:val="22"/>
                <w:color w:val="auto"/>
              </w:rPr>
              <w:t>6,721</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6,767</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right"/>
              <w:ind w:right="173"/>
              <w:spacing w:after="0"/>
              <w:rPr>
                <w:sz w:val="20"/>
                <w:szCs w:val="20"/>
                <w:color w:val="auto"/>
              </w:rPr>
            </w:pPr>
            <w:r>
              <w:rPr>
                <w:rFonts w:ascii="Times New Roman" w:cs="Times New Roman" w:eastAsia="Times New Roman" w:hAnsi="Times New Roman"/>
                <w:sz w:val="22"/>
                <w:szCs w:val="22"/>
                <w:color w:val="auto"/>
              </w:rPr>
              <w:t>6,721</w:t>
            </w:r>
          </w:p>
        </w:tc>
        <w:tc>
          <w:tcPr>
            <w:tcW w:w="0" w:type="dxa"/>
            <w:vAlign w:val="bottom"/>
          </w:tcPr>
          <w:p>
            <w:pPr>
              <w:spacing w:after="0"/>
              <w:rPr>
                <w:sz w:val="1"/>
                <w:szCs w:val="1"/>
                <w:color w:val="auto"/>
              </w:rPr>
            </w:pPr>
          </w:p>
        </w:tc>
      </w:tr>
      <w:tr>
        <w:trPr>
          <w:trHeight w:val="488"/>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7"/>
              </w:rPr>
              <w:t>Sales Statistics</w:t>
            </w:r>
          </w:p>
        </w:tc>
        <w:tc>
          <w:tcPr>
            <w:tcW w:w="2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 in thousands, except sales per average</w:t>
            </w: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4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square foot)</w:t>
            </w:r>
          </w:p>
        </w:tc>
        <w:tc>
          <w:tcPr>
            <w:tcW w:w="220" w:type="dxa"/>
            <w:vAlign w:val="bottom"/>
          </w:tcPr>
          <w:p>
            <w:pPr>
              <w:spacing w:after="0"/>
              <w:rPr>
                <w:sz w:val="24"/>
                <w:szCs w:val="24"/>
                <w:color w:val="auto"/>
              </w:rPr>
            </w:pPr>
          </w:p>
        </w:tc>
        <w:tc>
          <w:tcPr>
            <w:tcW w:w="152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22"/>
                <w:szCs w:val="22"/>
                <w:b w:val="1"/>
                <w:bCs w:val="1"/>
                <w:color w:val="auto"/>
                <w:w w:val="95"/>
              </w:rPr>
              <w:t>16 Weeks</w:t>
            </w:r>
          </w:p>
        </w:tc>
        <w:tc>
          <w:tcPr>
            <w:tcW w:w="240" w:type="dxa"/>
            <w:vAlign w:val="bottom"/>
          </w:tcPr>
          <w:p>
            <w:pPr>
              <w:spacing w:after="0"/>
              <w:rPr>
                <w:sz w:val="24"/>
                <w:szCs w:val="24"/>
                <w:color w:val="auto"/>
              </w:rPr>
            </w:pPr>
          </w:p>
        </w:tc>
        <w:tc>
          <w:tcPr>
            <w:tcW w:w="154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22"/>
                <w:szCs w:val="22"/>
                <w:b w:val="1"/>
                <w:bCs w:val="1"/>
                <w:color w:val="auto"/>
                <w:w w:val="95"/>
              </w:rPr>
              <w:t>17 Weeks</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3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36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20" w:type="dxa"/>
            <w:vAlign w:val="bottom"/>
            <w:gridSpan w:val="2"/>
          </w:tcPr>
          <w:p>
            <w:pPr>
              <w:jc w:val="center"/>
              <w:ind w:right="480"/>
              <w:spacing w:after="0"/>
              <w:rPr>
                <w:sz w:val="20"/>
                <w:szCs w:val="20"/>
                <w:color w:val="auto"/>
              </w:rPr>
            </w:pPr>
            <w:r>
              <w:rPr>
                <w:rFonts w:ascii="Times New Roman" w:cs="Times New Roman" w:eastAsia="Times New Roman" w:hAnsi="Times New Roman"/>
                <w:sz w:val="22"/>
                <w:szCs w:val="22"/>
                <w:b w:val="1"/>
                <w:bCs w:val="1"/>
                <w:color w:val="auto"/>
                <w:w w:val="98"/>
              </w:rPr>
              <w:t>Ended</w:t>
            </w:r>
          </w:p>
        </w:tc>
        <w:tc>
          <w:tcPr>
            <w:tcW w:w="240" w:type="dxa"/>
            <w:vAlign w:val="bottom"/>
          </w:tcPr>
          <w:p>
            <w:pPr>
              <w:spacing w:after="0"/>
              <w:rPr>
                <w:sz w:val="23"/>
                <w:szCs w:val="23"/>
                <w:color w:val="auto"/>
              </w:rPr>
            </w:pPr>
          </w:p>
        </w:tc>
        <w:tc>
          <w:tcPr>
            <w:tcW w:w="1540" w:type="dxa"/>
            <w:vAlign w:val="bottom"/>
            <w:gridSpan w:val="2"/>
          </w:tcPr>
          <w:p>
            <w:pPr>
              <w:jc w:val="center"/>
              <w:ind w:right="460"/>
              <w:spacing w:after="0"/>
              <w:rPr>
                <w:sz w:val="20"/>
                <w:szCs w:val="20"/>
                <w:color w:val="auto"/>
              </w:rPr>
            </w:pPr>
            <w:r>
              <w:rPr>
                <w:rFonts w:ascii="Times New Roman" w:cs="Times New Roman" w:eastAsia="Times New Roman" w:hAnsi="Times New Roman"/>
                <w:sz w:val="22"/>
                <w:szCs w:val="22"/>
                <w:b w:val="1"/>
                <w:bCs w:val="1"/>
                <w:color w:val="auto"/>
                <w:w w:val="98"/>
              </w:rPr>
              <w:t>Ended</w:t>
            </w:r>
          </w:p>
        </w:tc>
        <w:tc>
          <w:tcPr>
            <w:tcW w:w="1800" w:type="dxa"/>
            <w:vAlign w:val="bottom"/>
            <w:gridSpan w:val="3"/>
          </w:tcPr>
          <w:p>
            <w:pPr>
              <w:ind w:left="20"/>
              <w:spacing w:after="0"/>
              <w:rPr>
                <w:sz w:val="20"/>
                <w:szCs w:val="20"/>
                <w:color w:val="auto"/>
              </w:rPr>
            </w:pPr>
            <w:r>
              <w:rPr>
                <w:rFonts w:ascii="Times New Roman" w:cs="Times New Roman" w:eastAsia="Times New Roman" w:hAnsi="Times New Roman"/>
                <w:sz w:val="22"/>
                <w:szCs w:val="22"/>
                <w:b w:val="1"/>
                <w:bCs w:val="1"/>
                <w:color w:val="auto"/>
              </w:rPr>
              <w:t>52 Weeks Ended</w:t>
            </w: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w w:val="98"/>
              </w:rPr>
              <w:t>53 Weeks Ended</w:t>
            </w:r>
          </w:p>
        </w:tc>
        <w:tc>
          <w:tcPr>
            <w:tcW w:w="0" w:type="dxa"/>
            <w:vAlign w:val="bottom"/>
          </w:tcPr>
          <w:p>
            <w:pPr>
              <w:spacing w:after="0"/>
              <w:rPr>
                <w:sz w:val="1"/>
                <w:szCs w:val="1"/>
                <w:color w:val="auto"/>
              </w:rPr>
            </w:pPr>
          </w:p>
        </w:tc>
      </w:tr>
      <w:tr>
        <w:trPr>
          <w:trHeight w:val="243"/>
        </w:trPr>
        <w:tc>
          <w:tcPr>
            <w:tcW w:w="42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Total AutoZone Stores (Domestic, Mexico</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August 31, 2024</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August 31, 2024</w:t>
            </w:r>
          </w:p>
        </w:tc>
        <w:tc>
          <w:tcPr>
            <w:tcW w:w="0" w:type="dxa"/>
            <w:vAlign w:val="bottom"/>
          </w:tcPr>
          <w:p>
            <w:pPr>
              <w:spacing w:after="0"/>
              <w:rPr>
                <w:sz w:val="1"/>
                <w:szCs w:val="1"/>
                <w:color w:val="auto"/>
              </w:rPr>
            </w:pPr>
          </w:p>
        </w:tc>
      </w:tr>
      <w:tr>
        <w:trPr>
          <w:trHeight w:val="286"/>
        </w:trPr>
        <w:tc>
          <w:tcPr>
            <w:tcW w:w="42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and Brazil)</w:t>
            </w:r>
          </w:p>
        </w:tc>
        <w:tc>
          <w:tcPr>
            <w:tcW w:w="1740" w:type="dxa"/>
            <w:vAlign w:val="bottom"/>
            <w:gridSpan w:val="3"/>
          </w:tcPr>
          <w:p>
            <w:pPr>
              <w:ind w:left="20"/>
              <w:spacing w:after="0"/>
              <w:rPr>
                <w:sz w:val="20"/>
                <w:szCs w:val="20"/>
                <w:color w:val="auto"/>
              </w:rPr>
            </w:pPr>
            <w:r>
              <w:rPr>
                <w:rFonts w:ascii="Times New Roman" w:cs="Times New Roman" w:eastAsia="Times New Roman" w:hAnsi="Times New Roman"/>
                <w:sz w:val="22"/>
                <w:szCs w:val="22"/>
                <w:b w:val="1"/>
                <w:bCs w:val="1"/>
                <w:color w:val="auto"/>
              </w:rPr>
              <w:t>August 30, 2025</w:t>
            </w:r>
          </w:p>
        </w:tc>
        <w:tc>
          <w:tcPr>
            <w:tcW w:w="240" w:type="dxa"/>
            <w:vAlign w:val="bottom"/>
          </w:tcPr>
          <w:p>
            <w:pPr>
              <w:spacing w:after="0"/>
              <w:rPr>
                <w:sz w:val="24"/>
                <w:szCs w:val="24"/>
                <w:color w:val="auto"/>
              </w:rPr>
            </w:pPr>
          </w:p>
        </w:tc>
        <w:tc>
          <w:tcPr>
            <w:tcW w:w="1300" w:type="dxa"/>
            <w:vAlign w:val="bottom"/>
          </w:tcPr>
          <w:p>
            <w:pPr>
              <w:jc w:val="center"/>
              <w:ind w:right="133"/>
              <w:spacing w:after="0"/>
              <w:rPr>
                <w:sz w:val="20"/>
                <w:szCs w:val="20"/>
                <w:color w:val="auto"/>
              </w:rPr>
            </w:pPr>
            <w:r>
              <w:rPr>
                <w:rFonts w:ascii="Times New Roman" w:cs="Times New Roman" w:eastAsia="Times New Roman" w:hAnsi="Times New Roman"/>
                <w:sz w:val="18"/>
                <w:szCs w:val="18"/>
                <w:b w:val="1"/>
                <w:bCs w:val="1"/>
                <w:color w:val="auto"/>
              </w:rPr>
              <w:t>(1)</w:t>
            </w:r>
          </w:p>
        </w:tc>
        <w:tc>
          <w:tcPr>
            <w:tcW w:w="240" w:type="dxa"/>
            <w:vAlign w:val="bottom"/>
          </w:tcPr>
          <w:p>
            <w:pPr>
              <w:spacing w:after="0"/>
              <w:rPr>
                <w:sz w:val="24"/>
                <w:szCs w:val="24"/>
                <w:color w:val="auto"/>
              </w:rPr>
            </w:pPr>
          </w:p>
        </w:tc>
        <w:tc>
          <w:tcPr>
            <w:tcW w:w="1800" w:type="dxa"/>
            <w:vAlign w:val="bottom"/>
            <w:gridSpan w:val="3"/>
          </w:tcPr>
          <w:p>
            <w:pPr>
              <w:ind w:left="60"/>
              <w:spacing w:after="0"/>
              <w:rPr>
                <w:sz w:val="20"/>
                <w:szCs w:val="20"/>
                <w:color w:val="auto"/>
              </w:rPr>
            </w:pPr>
            <w:r>
              <w:rPr>
                <w:rFonts w:ascii="Times New Roman" w:cs="Times New Roman" w:eastAsia="Times New Roman" w:hAnsi="Times New Roman"/>
                <w:sz w:val="22"/>
                <w:szCs w:val="22"/>
                <w:b w:val="1"/>
                <w:bCs w:val="1"/>
                <w:color w:val="auto"/>
              </w:rPr>
              <w:t>August 30, 2025</w:t>
            </w:r>
          </w:p>
        </w:tc>
        <w:tc>
          <w:tcPr>
            <w:tcW w:w="280" w:type="dxa"/>
            <w:vAlign w:val="bottom"/>
          </w:tcPr>
          <w:p>
            <w:pPr>
              <w:spacing w:after="0"/>
              <w:rPr>
                <w:sz w:val="24"/>
                <w:szCs w:val="24"/>
                <w:color w:val="auto"/>
              </w:rPr>
            </w:pPr>
          </w:p>
        </w:tc>
        <w:tc>
          <w:tcPr>
            <w:tcW w:w="1300" w:type="dxa"/>
            <w:vAlign w:val="bottom"/>
          </w:tcPr>
          <w:p>
            <w:pPr>
              <w:jc w:val="right"/>
              <w:ind w:right="593"/>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51"/>
        </w:trPr>
        <w:tc>
          <w:tcPr>
            <w:tcW w:w="4220" w:type="dxa"/>
            <w:vAlign w:val="bottom"/>
            <w:gridSpan w:val="2"/>
          </w:tcPr>
          <w:p>
            <w:pPr>
              <w:ind w:left="200"/>
              <w:spacing w:after="0" w:line="251" w:lineRule="exact"/>
              <w:rPr>
                <w:sz w:val="20"/>
                <w:szCs w:val="20"/>
                <w:color w:val="auto"/>
              </w:rPr>
            </w:pPr>
            <w:r>
              <w:rPr>
                <w:rFonts w:ascii="Times New Roman" w:cs="Times New Roman" w:eastAsia="Times New Roman" w:hAnsi="Times New Roman"/>
                <w:sz w:val="22"/>
                <w:szCs w:val="22"/>
                <w:color w:val="auto"/>
              </w:rPr>
              <w:t>Sales per average store</w:t>
            </w:r>
          </w:p>
        </w:tc>
        <w:tc>
          <w:tcPr>
            <w:tcW w:w="220" w:type="dxa"/>
            <w:vAlign w:val="bottom"/>
            <w:tcBorders>
              <w:top w:val="single" w:sz="8" w:color="auto"/>
            </w:tcBorders>
          </w:tcPr>
          <w:p>
            <w:pPr>
              <w:spacing w:after="0" w:line="251" w:lineRule="exact"/>
              <w:rPr>
                <w:sz w:val="20"/>
                <w:szCs w:val="20"/>
                <w:color w:val="auto"/>
              </w:rPr>
            </w:pPr>
            <w:r>
              <w:rPr>
                <w:rFonts w:ascii="Times New Roman" w:cs="Times New Roman" w:eastAsia="Times New Roman" w:hAnsi="Times New Roman"/>
                <w:sz w:val="22"/>
                <w:szCs w:val="22"/>
                <w:color w:val="auto"/>
              </w:rPr>
              <w:t>$</w:t>
            </w:r>
          </w:p>
        </w:tc>
        <w:tc>
          <w:tcPr>
            <w:tcW w:w="128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823</w:t>
            </w:r>
          </w:p>
        </w:tc>
        <w:tc>
          <w:tcPr>
            <w:tcW w:w="240" w:type="dxa"/>
            <w:vAlign w:val="bottom"/>
          </w:tcPr>
          <w:p>
            <w:pPr>
              <w:spacing w:after="0"/>
              <w:rPr>
                <w:sz w:val="21"/>
                <w:szCs w:val="21"/>
                <w:color w:val="auto"/>
              </w:rPr>
            </w:pPr>
          </w:p>
        </w:tc>
        <w:tc>
          <w:tcPr>
            <w:tcW w:w="240" w:type="dxa"/>
            <w:vAlign w:val="bottom"/>
            <w:tcBorders>
              <w:top w:val="single" w:sz="8" w:color="auto"/>
            </w:tcBorders>
          </w:tcPr>
          <w:p>
            <w:pPr>
              <w:ind w:left="20"/>
              <w:spacing w:after="0" w:line="251" w:lineRule="exact"/>
              <w:rPr>
                <w:sz w:val="20"/>
                <w:szCs w:val="20"/>
                <w:color w:val="auto"/>
              </w:rPr>
            </w:pPr>
            <w:r>
              <w:rPr>
                <w:rFonts w:ascii="Times New Roman" w:cs="Times New Roman" w:eastAsia="Times New Roman" w:hAnsi="Times New Roman"/>
                <w:sz w:val="22"/>
                <w:szCs w:val="22"/>
                <w:color w:val="auto"/>
              </w:rPr>
              <w:t>$</w:t>
            </w:r>
          </w:p>
        </w:tc>
        <w:tc>
          <w:tcPr>
            <w:tcW w:w="1300" w:type="dxa"/>
            <w:vAlign w:val="bottom"/>
            <w:tcBorders>
              <w:top w:val="single" w:sz="8" w:color="auto"/>
            </w:tcBorders>
          </w:tcPr>
          <w:p>
            <w:pPr>
              <w:jc w:val="right"/>
              <w:ind w:right="93"/>
              <w:spacing w:after="0" w:line="251" w:lineRule="exact"/>
              <w:rPr>
                <w:sz w:val="20"/>
                <w:szCs w:val="20"/>
                <w:color w:val="auto"/>
              </w:rPr>
            </w:pPr>
            <w:r>
              <w:rPr>
                <w:rFonts w:ascii="Times New Roman" w:cs="Times New Roman" w:eastAsia="Times New Roman" w:hAnsi="Times New Roman"/>
                <w:sz w:val="22"/>
                <w:szCs w:val="22"/>
                <w:color w:val="auto"/>
              </w:rPr>
              <w:t>835</w:t>
            </w:r>
          </w:p>
        </w:tc>
        <w:tc>
          <w:tcPr>
            <w:tcW w:w="240" w:type="dxa"/>
            <w:vAlign w:val="bottom"/>
          </w:tcPr>
          <w:p>
            <w:pPr>
              <w:spacing w:after="0"/>
              <w:rPr>
                <w:sz w:val="21"/>
                <w:szCs w:val="21"/>
                <w:color w:val="auto"/>
              </w:rPr>
            </w:pPr>
          </w:p>
        </w:tc>
        <w:tc>
          <w:tcPr>
            <w:tcW w:w="280" w:type="dxa"/>
            <w:vAlign w:val="bottom"/>
            <w:tcBorders>
              <w:top w:val="single" w:sz="8" w:color="auto"/>
            </w:tcBorders>
          </w:tcPr>
          <w:p>
            <w:pPr>
              <w:ind w:left="20"/>
              <w:spacing w:after="0" w:line="251" w:lineRule="exact"/>
              <w:rPr>
                <w:sz w:val="20"/>
                <w:szCs w:val="20"/>
                <w:color w:val="auto"/>
              </w:rPr>
            </w:pPr>
            <w:r>
              <w:rPr>
                <w:rFonts w:ascii="Times New Roman" w:cs="Times New Roman" w:eastAsia="Times New Roman" w:hAnsi="Times New Roman"/>
                <w:sz w:val="22"/>
                <w:szCs w:val="22"/>
                <w:color w:val="auto"/>
              </w:rPr>
              <w:t>$</w:t>
            </w:r>
          </w:p>
        </w:tc>
        <w:tc>
          <w:tcPr>
            <w:tcW w:w="1300" w:type="dxa"/>
            <w:vAlign w:val="bottom"/>
            <w:tcBorders>
              <w:top w:val="single" w:sz="8" w:color="auto"/>
            </w:tcBorders>
          </w:tcPr>
          <w:p>
            <w:pPr>
              <w:jc w:val="right"/>
              <w:ind w:right="172"/>
              <w:spacing w:after="0" w:line="251" w:lineRule="exact"/>
              <w:rPr>
                <w:sz w:val="20"/>
                <w:szCs w:val="20"/>
                <w:color w:val="auto"/>
              </w:rPr>
            </w:pPr>
            <w:r>
              <w:rPr>
                <w:rFonts w:ascii="Times New Roman" w:cs="Times New Roman" w:eastAsia="Times New Roman" w:hAnsi="Times New Roman"/>
                <w:sz w:val="22"/>
                <w:szCs w:val="22"/>
                <w:color w:val="auto"/>
              </w:rPr>
              <w:t>2,523</w:t>
            </w:r>
          </w:p>
        </w:tc>
        <w:tc>
          <w:tcPr>
            <w:tcW w:w="220" w:type="dxa"/>
            <w:vAlign w:val="bottom"/>
          </w:tcPr>
          <w:p>
            <w:pPr>
              <w:spacing w:after="0"/>
              <w:rPr>
                <w:sz w:val="21"/>
                <w:szCs w:val="21"/>
                <w:color w:val="auto"/>
              </w:rPr>
            </w:pPr>
          </w:p>
        </w:tc>
        <w:tc>
          <w:tcPr>
            <w:tcW w:w="280" w:type="dxa"/>
            <w:vAlign w:val="bottom"/>
            <w:tcBorders>
              <w:top w:val="single" w:sz="8" w:color="auto"/>
            </w:tcBorders>
          </w:tcPr>
          <w:p>
            <w:pPr>
              <w:spacing w:after="0" w:line="251" w:lineRule="exact"/>
              <w:rPr>
                <w:sz w:val="20"/>
                <w:szCs w:val="20"/>
                <w:color w:val="auto"/>
              </w:rPr>
            </w:pPr>
            <w:r>
              <w:rPr>
                <w:rFonts w:ascii="Times New Roman" w:cs="Times New Roman" w:eastAsia="Times New Roman" w:hAnsi="Times New Roman"/>
                <w:sz w:val="22"/>
                <w:szCs w:val="22"/>
                <w:color w:val="auto"/>
              </w:rPr>
              <w:t>$</w:t>
            </w:r>
          </w:p>
        </w:tc>
        <w:tc>
          <w:tcPr>
            <w:tcW w:w="1300" w:type="dxa"/>
            <w:vAlign w:val="bottom"/>
            <w:tcBorders>
              <w:top w:val="single" w:sz="8" w:color="auto"/>
            </w:tcBorders>
          </w:tcPr>
          <w:p>
            <w:pPr>
              <w:jc w:val="right"/>
              <w:ind w:right="173"/>
              <w:spacing w:after="0" w:line="251" w:lineRule="exact"/>
              <w:rPr>
                <w:sz w:val="20"/>
                <w:szCs w:val="20"/>
                <w:color w:val="auto"/>
              </w:rPr>
            </w:pPr>
            <w:r>
              <w:rPr>
                <w:rFonts w:ascii="Times New Roman" w:cs="Times New Roman" w:eastAsia="Times New Roman" w:hAnsi="Times New Roman"/>
                <w:sz w:val="22"/>
                <w:szCs w:val="22"/>
                <w:color w:val="auto"/>
              </w:rPr>
              <w:t>2,505</w:t>
            </w:r>
          </w:p>
        </w:tc>
        <w:tc>
          <w:tcPr>
            <w:tcW w:w="0" w:type="dxa"/>
            <w:vAlign w:val="bottom"/>
          </w:tcPr>
          <w:p>
            <w:pPr>
              <w:spacing w:after="0"/>
              <w:rPr>
                <w:sz w:val="1"/>
                <w:szCs w:val="1"/>
                <w:color w:val="auto"/>
              </w:rPr>
            </w:pPr>
          </w:p>
        </w:tc>
      </w:tr>
      <w:tr>
        <w:trPr>
          <w:trHeight w:val="282"/>
        </w:trPr>
        <w:tc>
          <w:tcPr>
            <w:tcW w:w="422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Sales per average square foot</w:t>
            </w:r>
          </w:p>
        </w:tc>
        <w:tc>
          <w:tcPr>
            <w:tcW w:w="22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122</w:t>
            </w:r>
          </w:p>
        </w:tc>
        <w:tc>
          <w:tcPr>
            <w:tcW w:w="240" w:type="dxa"/>
            <w:vAlign w:val="bottom"/>
          </w:tcPr>
          <w:p>
            <w:pPr>
              <w:spacing w:after="0"/>
              <w:rPr>
                <w:sz w:val="24"/>
                <w:szCs w:val="24"/>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300" w:type="dxa"/>
            <w:vAlign w:val="bottom"/>
          </w:tcPr>
          <w:p>
            <w:pPr>
              <w:jc w:val="right"/>
              <w:ind w:right="93"/>
              <w:spacing w:after="0"/>
              <w:rPr>
                <w:sz w:val="20"/>
                <w:szCs w:val="20"/>
                <w:color w:val="auto"/>
              </w:rPr>
            </w:pPr>
            <w:r>
              <w:rPr>
                <w:rFonts w:ascii="Times New Roman" w:cs="Times New Roman" w:eastAsia="Times New Roman" w:hAnsi="Times New Roman"/>
                <w:sz w:val="22"/>
                <w:szCs w:val="22"/>
                <w:color w:val="auto"/>
              </w:rPr>
              <w:t>124</w:t>
            </w:r>
          </w:p>
        </w:tc>
        <w:tc>
          <w:tcPr>
            <w:tcW w:w="24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30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374</w:t>
            </w:r>
          </w:p>
        </w:tc>
        <w:tc>
          <w:tcPr>
            <w:tcW w:w="22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300" w:type="dxa"/>
            <w:vAlign w:val="bottom"/>
          </w:tcPr>
          <w:p>
            <w:pPr>
              <w:jc w:val="right"/>
              <w:ind w:right="173"/>
              <w:spacing w:after="0"/>
              <w:rPr>
                <w:sz w:val="20"/>
                <w:szCs w:val="20"/>
                <w:color w:val="auto"/>
              </w:rPr>
            </w:pPr>
            <w:r>
              <w:rPr>
                <w:rFonts w:ascii="Times New Roman" w:cs="Times New Roman" w:eastAsia="Times New Roman" w:hAnsi="Times New Roman"/>
                <w:sz w:val="22"/>
                <w:szCs w:val="22"/>
                <w:color w:val="auto"/>
              </w:rPr>
              <w:t>373</w:t>
            </w:r>
          </w:p>
        </w:tc>
        <w:tc>
          <w:tcPr>
            <w:tcW w:w="0" w:type="dxa"/>
            <w:vAlign w:val="bottom"/>
          </w:tcPr>
          <w:p>
            <w:pPr>
              <w:spacing w:after="0"/>
              <w:rPr>
                <w:sz w:val="1"/>
                <w:szCs w:val="1"/>
                <w:color w:val="auto"/>
              </w:rPr>
            </w:pPr>
          </w:p>
        </w:tc>
      </w:tr>
      <w:tr>
        <w:trPr>
          <w:trHeight w:val="528"/>
        </w:trPr>
        <w:tc>
          <w:tcPr>
            <w:tcW w:w="42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Domestic Commercial</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422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Total domestic commercial sales</w:t>
            </w:r>
          </w:p>
        </w:tc>
        <w:tc>
          <w:tcPr>
            <w:tcW w:w="22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1,761,960</w:t>
            </w:r>
          </w:p>
        </w:tc>
        <w:tc>
          <w:tcPr>
            <w:tcW w:w="240" w:type="dxa"/>
            <w:vAlign w:val="bottom"/>
          </w:tcPr>
          <w:p>
            <w:pPr>
              <w:spacing w:after="0"/>
              <w:rPr>
                <w:sz w:val="24"/>
                <w:szCs w:val="24"/>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300" w:type="dxa"/>
            <w:vAlign w:val="bottom"/>
          </w:tcPr>
          <w:p>
            <w:pPr>
              <w:jc w:val="right"/>
              <w:ind w:right="93"/>
              <w:spacing w:after="0"/>
              <w:rPr>
                <w:sz w:val="20"/>
                <w:szCs w:val="20"/>
                <w:color w:val="auto"/>
              </w:rPr>
            </w:pPr>
            <w:r>
              <w:rPr>
                <w:rFonts w:ascii="Times New Roman" w:cs="Times New Roman" w:eastAsia="Times New Roman" w:hAnsi="Times New Roman"/>
                <w:sz w:val="22"/>
                <w:szCs w:val="22"/>
                <w:color w:val="auto"/>
              </w:rPr>
              <w:t>1,662,596</w:t>
            </w:r>
          </w:p>
        </w:tc>
        <w:tc>
          <w:tcPr>
            <w:tcW w:w="24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30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5,212,294</w:t>
            </w:r>
          </w:p>
        </w:tc>
        <w:tc>
          <w:tcPr>
            <w:tcW w:w="22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300" w:type="dxa"/>
            <w:vAlign w:val="bottom"/>
          </w:tcPr>
          <w:p>
            <w:pPr>
              <w:jc w:val="right"/>
              <w:ind w:right="173"/>
              <w:spacing w:after="0"/>
              <w:rPr>
                <w:sz w:val="20"/>
                <w:szCs w:val="20"/>
                <w:color w:val="auto"/>
              </w:rPr>
            </w:pPr>
            <w:r>
              <w:rPr>
                <w:rFonts w:ascii="Times New Roman" w:cs="Times New Roman" w:eastAsia="Times New Roman" w:hAnsi="Times New Roman"/>
                <w:sz w:val="22"/>
                <w:szCs w:val="22"/>
                <w:color w:val="auto"/>
              </w:rPr>
              <w:t>4,882,764</w:t>
            </w:r>
          </w:p>
        </w:tc>
        <w:tc>
          <w:tcPr>
            <w:tcW w:w="0" w:type="dxa"/>
            <w:vAlign w:val="bottom"/>
          </w:tcPr>
          <w:p>
            <w:pPr>
              <w:spacing w:after="0"/>
              <w:rPr>
                <w:sz w:val="1"/>
                <w:szCs w:val="1"/>
                <w:color w:val="auto"/>
              </w:rPr>
            </w:pPr>
          </w:p>
        </w:tc>
      </w:tr>
      <w:tr>
        <w:trPr>
          <w:trHeight w:val="475"/>
        </w:trPr>
        <w:tc>
          <w:tcPr>
            <w:tcW w:w="422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 xml:space="preserve">% Increase vs. LY </w:t>
            </w:r>
            <w:r>
              <w:rPr>
                <w:rFonts w:ascii="Times New Roman" w:cs="Times New Roman" w:eastAsia="Times New Roman" w:hAnsi="Times New Roman"/>
                <w:sz w:val="35"/>
                <w:szCs w:val="35"/>
                <w:color w:val="auto"/>
                <w:vertAlign w:val="superscript"/>
              </w:rPr>
              <w:t>(1)</w:t>
            </w: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10.9%</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c>
          <w:tcPr>
            <w:tcW w:w="0" w:type="dxa"/>
            <w:vAlign w:val="bottom"/>
          </w:tcPr>
          <w:p>
            <w:pPr>
              <w:spacing w:after="0"/>
              <w:rPr>
                <w:sz w:val="1"/>
                <w:szCs w:val="1"/>
                <w:color w:val="auto"/>
              </w:rPr>
            </w:pPr>
          </w:p>
        </w:tc>
      </w:tr>
      <w:tr>
        <w:trPr>
          <w:trHeight w:val="380"/>
        </w:trPr>
        <w:tc>
          <w:tcPr>
            <w:tcW w:w="422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Average sales per program per week</w:t>
            </w:r>
          </w:p>
        </w:tc>
        <w:tc>
          <w:tcPr>
            <w:tcW w:w="22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18.2</w:t>
            </w:r>
          </w:p>
        </w:tc>
        <w:tc>
          <w:tcPr>
            <w:tcW w:w="240" w:type="dxa"/>
            <w:vAlign w:val="bottom"/>
          </w:tcPr>
          <w:p>
            <w:pPr>
              <w:spacing w:after="0"/>
              <w:rPr>
                <w:sz w:val="24"/>
                <w:szCs w:val="24"/>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300" w:type="dxa"/>
            <w:vAlign w:val="bottom"/>
          </w:tcPr>
          <w:p>
            <w:pPr>
              <w:jc w:val="right"/>
              <w:ind w:right="93"/>
              <w:spacing w:after="0"/>
              <w:rPr>
                <w:sz w:val="20"/>
                <w:szCs w:val="20"/>
                <w:color w:val="auto"/>
              </w:rPr>
            </w:pPr>
            <w:r>
              <w:rPr>
                <w:rFonts w:ascii="Times New Roman" w:cs="Times New Roman" w:eastAsia="Times New Roman" w:hAnsi="Times New Roman"/>
                <w:sz w:val="22"/>
                <w:szCs w:val="22"/>
                <w:color w:val="auto"/>
              </w:rPr>
              <w:t>16.7</w:t>
            </w:r>
          </w:p>
        </w:tc>
        <w:tc>
          <w:tcPr>
            <w:tcW w:w="24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30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16.7</w:t>
            </w:r>
          </w:p>
        </w:tc>
        <w:tc>
          <w:tcPr>
            <w:tcW w:w="22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1300" w:type="dxa"/>
            <w:vAlign w:val="bottom"/>
          </w:tcPr>
          <w:p>
            <w:pPr>
              <w:jc w:val="right"/>
              <w:ind w:right="173"/>
              <w:spacing w:after="0"/>
              <w:rPr>
                <w:sz w:val="20"/>
                <w:szCs w:val="20"/>
                <w:color w:val="auto"/>
              </w:rPr>
            </w:pPr>
            <w:r>
              <w:rPr>
                <w:rFonts w:ascii="Times New Roman" w:cs="Times New Roman" w:eastAsia="Times New Roman" w:hAnsi="Times New Roman"/>
                <w:sz w:val="22"/>
                <w:szCs w:val="22"/>
                <w:color w:val="auto"/>
              </w:rPr>
              <w:t>15.9</w:t>
            </w:r>
          </w:p>
        </w:tc>
        <w:tc>
          <w:tcPr>
            <w:tcW w:w="0" w:type="dxa"/>
            <w:vAlign w:val="bottom"/>
          </w:tcPr>
          <w:p>
            <w:pPr>
              <w:spacing w:after="0"/>
              <w:rPr>
                <w:sz w:val="1"/>
                <w:szCs w:val="1"/>
                <w:color w:val="auto"/>
              </w:rPr>
            </w:pPr>
          </w:p>
        </w:tc>
      </w:tr>
      <w:tr>
        <w:trPr>
          <w:trHeight w:val="282"/>
        </w:trPr>
        <w:tc>
          <w:tcPr>
            <w:tcW w:w="422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 Increase vs. LY</w:t>
            </w: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w:t>
            </w:r>
          </w:p>
        </w:tc>
        <w:tc>
          <w:tcPr>
            <w:tcW w:w="0" w:type="dxa"/>
            <w:vAlign w:val="bottom"/>
          </w:tcPr>
          <w:p>
            <w:pPr>
              <w:spacing w:after="0"/>
              <w:rPr>
                <w:sz w:val="1"/>
                <w:szCs w:val="1"/>
                <w:color w:val="auto"/>
              </w:rPr>
            </w:pPr>
          </w:p>
        </w:tc>
      </w:tr>
    </w:tbl>
    <w:p>
      <w:pPr>
        <w:spacing w:after="0" w:line="308" w:lineRule="exact"/>
        <w:rPr>
          <w:sz w:val="20"/>
          <w:szCs w:val="20"/>
          <w:color w:val="auto"/>
        </w:rPr>
      </w:pPr>
    </w:p>
    <w:p>
      <w:pPr>
        <w:jc w:val="both"/>
        <w:ind w:right="40" w:firstLine="1"/>
        <w:spacing w:after="0" w:line="220" w:lineRule="auto"/>
        <w:tabs>
          <w:tab w:leader="none" w:pos="264" w:val="left"/>
        </w:tabs>
        <w:numPr>
          <w:ilvl w:val="0"/>
          <w:numId w:val="4"/>
        </w:numPr>
        <w:rPr>
          <w:rFonts w:ascii="Times New Roman" w:cs="Times New Roman" w:eastAsia="Times New Roman" w:hAnsi="Times New Roman"/>
          <w:sz w:val="33"/>
          <w:szCs w:val="33"/>
          <w:i w:val="1"/>
          <w:iCs w:val="1"/>
          <w:color w:val="auto"/>
          <w:vertAlign w:val="superscript"/>
        </w:rPr>
      </w:pPr>
      <w:r>
        <w:rPr>
          <w:rFonts w:ascii="Times New Roman" w:cs="Times New Roman" w:eastAsia="Times New Roman" w:hAnsi="Times New Roman"/>
          <w:sz w:val="20"/>
          <w:szCs w:val="20"/>
          <w:i w:val="1"/>
          <w:iCs w:val="1"/>
          <w:color w:val="auto"/>
        </w:rPr>
        <w:t>Fiscal 2024 results include an additional week of sales of approximately $359.1 million for Total AutoZone Stores with $95.7 milion for Domestic Commercial. Sales per average store and sales per square foot benefited from the additional week by $49K and $7K, respectively.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22"/>
                <w:szCs w:val="22"/>
                <w:b w:val="1"/>
                <w:bCs w:val="1"/>
                <w:color w:val="auto"/>
                <w:w w:val="95"/>
              </w:rPr>
              <w:t>16 Weeks</w:t>
            </w:r>
          </w:p>
        </w:tc>
        <w:tc>
          <w:tcPr>
            <w:tcW w:w="1780" w:type="dxa"/>
            <w:vAlign w:val="bottom"/>
            <w:gridSpan w:val="2"/>
          </w:tcPr>
          <w:p>
            <w:pPr>
              <w:jc w:val="center"/>
              <w:ind w:right="240"/>
              <w:spacing w:after="0"/>
              <w:rPr>
                <w:sz w:val="20"/>
                <w:szCs w:val="20"/>
                <w:color w:val="auto"/>
              </w:rPr>
            </w:pPr>
            <w:r>
              <w:rPr>
                <w:rFonts w:ascii="Times New Roman" w:cs="Times New Roman" w:eastAsia="Times New Roman" w:hAnsi="Times New Roman"/>
                <w:sz w:val="22"/>
                <w:szCs w:val="22"/>
                <w:b w:val="1"/>
                <w:bCs w:val="1"/>
                <w:color w:val="auto"/>
                <w:w w:val="95"/>
              </w:rPr>
              <w:t>16 Weeks</w:t>
            </w:r>
          </w:p>
        </w:tc>
        <w:tc>
          <w:tcPr>
            <w:tcW w:w="1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560" w:type="dxa"/>
            <w:vAlign w:val="bottom"/>
          </w:tcPr>
          <w:p>
            <w:pPr>
              <w:spacing w:after="0"/>
              <w:rPr>
                <w:sz w:val="24"/>
                <w:szCs w:val="24"/>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5"/>
              </w:rPr>
              <w:t>(2)</w:t>
            </w:r>
          </w:p>
        </w:tc>
        <w:tc>
          <w:tcPr>
            <w:tcW w:w="2460" w:type="dxa"/>
            <w:vAlign w:val="bottom"/>
          </w:tcPr>
          <w:p>
            <w:pPr>
              <w:spacing w:after="0"/>
              <w:rPr>
                <w:sz w:val="24"/>
                <w:szCs w:val="24"/>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22"/>
                <w:szCs w:val="22"/>
                <w:b w:val="1"/>
                <w:bCs w:val="1"/>
                <w:color w:val="auto"/>
                <w:w w:val="98"/>
              </w:rPr>
              <w:t>Ended</w:t>
            </w: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22"/>
                <w:szCs w:val="22"/>
                <w:b w:val="1"/>
                <w:bCs w:val="1"/>
                <w:color w:val="auto"/>
                <w:w w:val="98"/>
              </w:rPr>
              <w:t>Ended</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52 Weeks Ended</w:t>
            </w: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w w:val="97"/>
              </w:rPr>
              <w:t>52 Weeks Ended</w:t>
            </w:r>
          </w:p>
        </w:tc>
        <w:tc>
          <w:tcPr>
            <w:tcW w:w="0" w:type="dxa"/>
            <w:vAlign w:val="bottom"/>
          </w:tcPr>
          <w:p>
            <w:pPr>
              <w:spacing w:after="0"/>
              <w:rPr>
                <w:sz w:val="1"/>
                <w:szCs w:val="1"/>
                <w:color w:val="auto"/>
              </w:rPr>
            </w:pPr>
          </w:p>
        </w:tc>
      </w:tr>
      <w:tr>
        <w:trPr>
          <w:trHeight w:val="196"/>
        </w:trPr>
        <w:tc>
          <w:tcPr>
            <w:tcW w:w="156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Same store sales</w:t>
            </w:r>
          </w:p>
        </w:tc>
        <w:tc>
          <w:tcPr>
            <w:tcW w:w="200" w:type="dxa"/>
            <w:vAlign w:val="bottom"/>
            <w:tcBorders>
              <w:bottom w:val="single" w:sz="8" w:color="auto"/>
            </w:tcBorders>
            <w:vMerge w:val="continue"/>
          </w:tcPr>
          <w:p>
            <w:pPr>
              <w:spacing w:after="0"/>
              <w:rPr>
                <w:sz w:val="16"/>
                <w:szCs w:val="16"/>
                <w:color w:val="auto"/>
              </w:rPr>
            </w:pPr>
          </w:p>
        </w:tc>
        <w:tc>
          <w:tcPr>
            <w:tcW w:w="2460" w:type="dxa"/>
            <w:vAlign w:val="bottom"/>
            <w:vMerge w:val="restart"/>
          </w:tcPr>
          <w:p>
            <w:pPr>
              <w:spacing w:after="0"/>
              <w:rPr>
                <w:sz w:val="16"/>
                <w:szCs w:val="16"/>
                <w:color w:val="auto"/>
              </w:rPr>
            </w:pPr>
          </w:p>
        </w:tc>
        <w:tc>
          <w:tcPr>
            <w:tcW w:w="17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22"/>
                <w:szCs w:val="22"/>
                <w:b w:val="1"/>
                <w:bCs w:val="1"/>
                <w:color w:val="auto"/>
                <w:w w:val="97"/>
              </w:rPr>
              <w:t>August 30, 2025</w:t>
            </w:r>
          </w:p>
        </w:tc>
        <w:tc>
          <w:tcPr>
            <w:tcW w:w="17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22"/>
                <w:szCs w:val="22"/>
                <w:b w:val="1"/>
                <w:bCs w:val="1"/>
                <w:color w:val="auto"/>
                <w:w w:val="98"/>
              </w:rPr>
              <w:t>August 31, 2024</w:t>
            </w:r>
          </w:p>
        </w:tc>
        <w:tc>
          <w:tcPr>
            <w:tcW w:w="180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b w:val="1"/>
                <w:bCs w:val="1"/>
                <w:color w:val="auto"/>
              </w:rPr>
              <w:t>August 30, 2025</w:t>
            </w: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August 31, 2024</w:t>
            </w:r>
          </w:p>
        </w:tc>
        <w:tc>
          <w:tcPr>
            <w:tcW w:w="0" w:type="dxa"/>
            <w:vAlign w:val="bottom"/>
          </w:tcPr>
          <w:p>
            <w:pPr>
              <w:spacing w:after="0"/>
              <w:rPr>
                <w:sz w:val="1"/>
                <w:szCs w:val="1"/>
                <w:color w:val="auto"/>
              </w:rPr>
            </w:pPr>
          </w:p>
        </w:tc>
      </w:tr>
      <w:tr>
        <w:trPr>
          <w:trHeight w:val="66"/>
        </w:trPr>
        <w:tc>
          <w:tcPr>
            <w:tcW w:w="1560" w:type="dxa"/>
            <w:vAlign w:val="bottom"/>
            <w:tcBorders>
              <w:bottom w:val="single" w:sz="8" w:color="auto"/>
            </w:tcBorders>
            <w:vMerge w:val="continue"/>
          </w:tcPr>
          <w:p>
            <w:pPr>
              <w:spacing w:after="0"/>
              <w:rPr>
                <w:sz w:val="5"/>
                <w:szCs w:val="5"/>
                <w:color w:val="auto"/>
              </w:rPr>
            </w:pPr>
          </w:p>
        </w:tc>
        <w:tc>
          <w:tcPr>
            <w:tcW w:w="200" w:type="dxa"/>
            <w:vAlign w:val="bottom"/>
          </w:tcPr>
          <w:p>
            <w:pPr>
              <w:spacing w:after="0"/>
              <w:rPr>
                <w:sz w:val="5"/>
                <w:szCs w:val="5"/>
                <w:color w:val="auto"/>
              </w:rPr>
            </w:pPr>
          </w:p>
        </w:tc>
        <w:tc>
          <w:tcPr>
            <w:tcW w:w="2460" w:type="dxa"/>
            <w:vAlign w:val="bottom"/>
            <w:vMerge w:val="continue"/>
          </w:tcPr>
          <w:p>
            <w:pPr>
              <w:spacing w:after="0"/>
              <w:rPr>
                <w:sz w:val="5"/>
                <w:szCs w:val="5"/>
                <w:color w:val="auto"/>
              </w:rPr>
            </w:pPr>
          </w:p>
        </w:tc>
        <w:tc>
          <w:tcPr>
            <w:tcW w:w="1740" w:type="dxa"/>
            <w:vAlign w:val="bottom"/>
            <w:gridSpan w:val="2"/>
            <w:vMerge w:val="continue"/>
          </w:tcPr>
          <w:p>
            <w:pPr>
              <w:spacing w:after="0"/>
              <w:rPr>
                <w:sz w:val="5"/>
                <w:szCs w:val="5"/>
                <w:color w:val="auto"/>
              </w:rPr>
            </w:pPr>
          </w:p>
        </w:tc>
        <w:tc>
          <w:tcPr>
            <w:tcW w:w="1780" w:type="dxa"/>
            <w:vAlign w:val="bottom"/>
            <w:gridSpan w:val="2"/>
            <w:vMerge w:val="continue"/>
          </w:tcPr>
          <w:p>
            <w:pPr>
              <w:spacing w:after="0"/>
              <w:rPr>
                <w:sz w:val="5"/>
                <w:szCs w:val="5"/>
                <w:color w:val="auto"/>
              </w:rPr>
            </w:pPr>
          </w:p>
        </w:tc>
        <w:tc>
          <w:tcPr>
            <w:tcW w:w="1800" w:type="dxa"/>
            <w:vAlign w:val="bottom"/>
            <w:gridSpan w:val="2"/>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4220" w:type="dxa"/>
            <w:vAlign w:val="bottom"/>
            <w:gridSpan w:val="3"/>
            <w:vMerge w:val="restart"/>
          </w:tcPr>
          <w:p>
            <w:pPr>
              <w:ind w:left="200"/>
              <w:spacing w:after="0"/>
              <w:rPr>
                <w:sz w:val="20"/>
                <w:szCs w:val="20"/>
                <w:color w:val="auto"/>
              </w:rPr>
            </w:pPr>
            <w:r>
              <w:rPr>
                <w:rFonts w:ascii="Times New Roman" w:cs="Times New Roman" w:eastAsia="Times New Roman" w:hAnsi="Times New Roman"/>
                <w:sz w:val="22"/>
                <w:szCs w:val="22"/>
                <w:color w:val="auto"/>
              </w:rPr>
              <w:t>Domestic</w:t>
            </w:r>
          </w:p>
        </w:tc>
        <w:tc>
          <w:tcPr>
            <w:tcW w:w="150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220" w:type="dxa"/>
            <w:vAlign w:val="bottom"/>
            <w:gridSpan w:val="3"/>
            <w:vMerge w:val="continue"/>
          </w:tcPr>
          <w:p>
            <w:pPr>
              <w:spacing w:after="0"/>
              <w:rPr>
                <w:sz w:val="21"/>
                <w:szCs w:val="21"/>
                <w:color w:val="auto"/>
              </w:rPr>
            </w:pPr>
          </w:p>
        </w:tc>
        <w:tc>
          <w:tcPr>
            <w:tcW w:w="150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4.8%</w:t>
            </w:r>
          </w:p>
        </w:tc>
        <w:tc>
          <w:tcPr>
            <w:tcW w:w="240" w:type="dxa"/>
            <w:vAlign w:val="bottom"/>
            <w:vMerge w:val="continue"/>
          </w:tcPr>
          <w:p>
            <w:pPr>
              <w:spacing w:after="0"/>
              <w:rPr>
                <w:sz w:val="21"/>
                <w:szCs w:val="21"/>
                <w:color w:val="auto"/>
              </w:rPr>
            </w:pPr>
          </w:p>
        </w:tc>
        <w:tc>
          <w:tcPr>
            <w:tcW w:w="154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0.2%</w:t>
            </w:r>
          </w:p>
        </w:tc>
        <w:tc>
          <w:tcPr>
            <w:tcW w:w="240" w:type="dxa"/>
            <w:vAlign w:val="bottom"/>
            <w:vMerge w:val="continue"/>
          </w:tcPr>
          <w:p>
            <w:pPr>
              <w:spacing w:after="0"/>
              <w:rPr>
                <w:sz w:val="21"/>
                <w:szCs w:val="21"/>
                <w:color w:val="auto"/>
              </w:rPr>
            </w:pPr>
          </w:p>
        </w:tc>
        <w:tc>
          <w:tcPr>
            <w:tcW w:w="158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3.2%</w:t>
            </w:r>
          </w:p>
        </w:tc>
        <w:tc>
          <w:tcPr>
            <w:tcW w:w="220" w:type="dxa"/>
            <w:vAlign w:val="bottom"/>
            <w:vMerge w:val="continue"/>
          </w:tcPr>
          <w:p>
            <w:pPr>
              <w:spacing w:after="0"/>
              <w:rPr>
                <w:sz w:val="21"/>
                <w:szCs w:val="21"/>
                <w:color w:val="auto"/>
              </w:rPr>
            </w:pPr>
          </w:p>
        </w:tc>
        <w:tc>
          <w:tcPr>
            <w:tcW w:w="158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0.4%</w:t>
            </w:r>
          </w:p>
        </w:tc>
        <w:tc>
          <w:tcPr>
            <w:tcW w:w="0" w:type="dxa"/>
            <w:vAlign w:val="bottom"/>
          </w:tcPr>
          <w:p>
            <w:pPr>
              <w:spacing w:after="0"/>
              <w:rPr>
                <w:sz w:val="1"/>
                <w:szCs w:val="1"/>
                <w:color w:val="auto"/>
              </w:rPr>
            </w:pPr>
          </w:p>
        </w:tc>
      </w:tr>
      <w:tr>
        <w:trPr>
          <w:trHeight w:val="270"/>
        </w:trPr>
        <w:tc>
          <w:tcPr>
            <w:tcW w:w="422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International</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c>
          <w:tcPr>
            <w:tcW w:w="2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c>
          <w:tcPr>
            <w:tcW w:w="2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c>
          <w:tcPr>
            <w:tcW w:w="2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16.1%</w:t>
            </w:r>
          </w:p>
        </w:tc>
        <w:tc>
          <w:tcPr>
            <w:tcW w:w="0" w:type="dxa"/>
            <w:vAlign w:val="bottom"/>
          </w:tcPr>
          <w:p>
            <w:pPr>
              <w:spacing w:after="0"/>
              <w:rPr>
                <w:sz w:val="1"/>
                <w:szCs w:val="1"/>
                <w:color w:val="auto"/>
              </w:rPr>
            </w:pPr>
          </w:p>
        </w:tc>
      </w:tr>
      <w:tr>
        <w:trPr>
          <w:trHeight w:val="282"/>
        </w:trPr>
        <w:tc>
          <w:tcPr>
            <w:tcW w:w="422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Total Company</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c>
          <w:tcPr>
            <w:tcW w:w="2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w:t>
            </w:r>
          </w:p>
        </w:tc>
        <w:tc>
          <w:tcPr>
            <w:tcW w:w="2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c>
          <w:tcPr>
            <w:tcW w:w="2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c>
          <w:tcPr>
            <w:tcW w:w="0" w:type="dxa"/>
            <w:vAlign w:val="bottom"/>
          </w:tcPr>
          <w:p>
            <w:pPr>
              <w:spacing w:after="0"/>
              <w:rPr>
                <w:sz w:val="1"/>
                <w:szCs w:val="1"/>
                <w:color w:val="auto"/>
              </w:rPr>
            </w:pPr>
          </w:p>
        </w:tc>
      </w:tr>
      <w:tr>
        <w:trPr>
          <w:trHeight w:val="528"/>
        </w:trPr>
        <w:tc>
          <w:tcPr>
            <w:tcW w:w="422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International - Constant Currency</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w:t>
            </w:r>
          </w:p>
        </w:tc>
        <w:tc>
          <w:tcPr>
            <w:tcW w:w="2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9.9%</w:t>
            </w:r>
          </w:p>
        </w:tc>
        <w:tc>
          <w:tcPr>
            <w:tcW w:w="2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w:t>
            </w:r>
          </w:p>
        </w:tc>
        <w:tc>
          <w:tcPr>
            <w:tcW w:w="2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w:t>
            </w:r>
          </w:p>
        </w:tc>
        <w:tc>
          <w:tcPr>
            <w:tcW w:w="0" w:type="dxa"/>
            <w:vAlign w:val="bottom"/>
          </w:tcPr>
          <w:p>
            <w:pPr>
              <w:spacing w:after="0"/>
              <w:rPr>
                <w:sz w:val="1"/>
                <w:szCs w:val="1"/>
                <w:color w:val="auto"/>
              </w:rPr>
            </w:pPr>
          </w:p>
        </w:tc>
      </w:tr>
      <w:tr>
        <w:trPr>
          <w:trHeight w:val="282"/>
        </w:trPr>
        <w:tc>
          <w:tcPr>
            <w:tcW w:w="422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Total Company - Constant Currency</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c>
          <w:tcPr>
            <w:tcW w:w="2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c>
          <w:tcPr>
            <w:tcW w:w="2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c>
          <w:tcPr>
            <w:tcW w:w="2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c>
          <w:tcPr>
            <w:tcW w:w="0" w:type="dxa"/>
            <w:vAlign w:val="bottom"/>
          </w:tcPr>
          <w:p>
            <w:pPr>
              <w:spacing w:after="0"/>
              <w:rPr>
                <w:sz w:val="1"/>
                <w:szCs w:val="1"/>
                <w:color w:val="auto"/>
              </w:rPr>
            </w:pPr>
          </w:p>
        </w:tc>
      </w:tr>
    </w:tbl>
    <w:p>
      <w:pPr>
        <w:spacing w:after="0" w:line="308" w:lineRule="exact"/>
        <w:rPr>
          <w:sz w:val="20"/>
          <w:szCs w:val="20"/>
          <w:color w:val="auto"/>
        </w:rPr>
      </w:pPr>
    </w:p>
    <w:p>
      <w:pPr>
        <w:ind w:right="120" w:firstLine="1"/>
        <w:spacing w:after="0" w:line="227" w:lineRule="auto"/>
        <w:tabs>
          <w:tab w:leader="none" w:pos="264" w:val="left"/>
        </w:tabs>
        <w:numPr>
          <w:ilvl w:val="0"/>
          <w:numId w:val="5"/>
        </w:numPr>
        <w:rPr>
          <w:rFonts w:ascii="Times New Roman" w:cs="Times New Roman" w:eastAsia="Times New Roman" w:hAnsi="Times New Roman"/>
          <w:sz w:val="33"/>
          <w:szCs w:val="33"/>
          <w:i w:val="1"/>
          <w:iCs w:val="1"/>
          <w:color w:val="auto"/>
          <w:vertAlign w:val="superscript"/>
        </w:rPr>
      </w:pPr>
      <w:r>
        <w:rPr>
          <w:rFonts w:ascii="Times New Roman" w:cs="Times New Roman" w:eastAsia="Times New Roman" w:hAnsi="Times New Roman"/>
          <w:sz w:val="20"/>
          <w:szCs w:val="20"/>
          <w:i w:val="1"/>
          <w:iCs w:val="1"/>
          <w:color w:val="auto"/>
        </w:rPr>
        <w:t>Same store sales are based on sales for all stores open at least one year. Constant Currency same store sales exclude the impact of fluctuations of foreign currency exchange rates by converting both the current year and prior year international results at the prior year foreign currency exchange rate. Same store sales have been reported on a comparable basis to exclude the impact of FY24's additional week.</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Inventory Statistics (Total Stores)</w:t>
      </w:r>
    </w:p>
    <w:p>
      <w:pPr>
        <w:spacing w:after="0" w:line="33" w:lineRule="exact"/>
        <w:rPr>
          <w:sz w:val="20"/>
          <w:szCs w:val="20"/>
          <w:color w:val="auto"/>
        </w:rPr>
      </w:pPr>
    </w:p>
    <w:tbl>
      <w:tblPr>
        <w:tblLayout w:type="fixed"/>
        <w:tblInd w:w="4220" w:type="dxa"/>
        <w:tblCellMar>
          <w:top w:w="0" w:type="dxa"/>
          <w:left w:w="0" w:type="dxa"/>
          <w:bottom w:w="0" w:type="dxa"/>
          <w:right w:w="0" w:type="dxa"/>
        </w:tblCellMar>
      </w:tblPr>
      <w:tr>
        <w:trPr>
          <w:trHeight w:val="254"/>
        </w:trPr>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22"/>
                <w:szCs w:val="22"/>
                <w:b w:val="1"/>
                <w:bCs w:val="1"/>
                <w:color w:val="auto"/>
                <w:w w:val="96"/>
              </w:rPr>
              <w:t>as of</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as of</w:t>
            </w:r>
          </w:p>
        </w:tc>
      </w:tr>
      <w:tr>
        <w:trPr>
          <w:trHeight w:val="287"/>
        </w:trPr>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August 30, 2025</w:t>
            </w:r>
          </w:p>
        </w:tc>
        <w:tc>
          <w:tcPr>
            <w:tcW w:w="240" w:type="dxa"/>
            <w:vAlign w:val="bottom"/>
          </w:tcPr>
          <w:p>
            <w:pPr>
              <w:spacing w:after="0"/>
              <w:rPr>
                <w:sz w:val="24"/>
                <w:szCs w:val="24"/>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August 31, 2024</w:t>
            </w:r>
          </w:p>
        </w:tc>
      </w:tr>
    </w:tbl>
    <w:p>
      <w:pPr>
        <w:sectPr>
          <w:pgSz w:w="11900" w:h="16900" w:orient="portrait"/>
          <w:cols w:equalWidth="0" w:num="1">
            <w:col w:w="11120"/>
          </w:cols>
          <w:pgMar w:left="340" w:top="382" w:right="4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020" w:type="dxa"/>
            <w:vAlign w:val="bottom"/>
          </w:tcPr>
          <w:p>
            <w:pPr>
              <w:spacing w:after="0"/>
              <w:rPr>
                <w:sz w:val="20"/>
                <w:szCs w:val="20"/>
                <w:color w:val="auto"/>
              </w:rPr>
            </w:pPr>
            <w:r>
              <w:rPr>
                <w:rFonts w:ascii="Times New Roman" w:cs="Times New Roman" w:eastAsia="Times New Roman" w:hAnsi="Times New Roman"/>
                <w:sz w:val="22"/>
                <w:szCs w:val="22"/>
                <w:color w:val="auto"/>
              </w:rPr>
              <w:t>Accounts payable/inventory</w:t>
            </w:r>
          </w:p>
        </w:tc>
        <w:tc>
          <w:tcPr>
            <w:tcW w:w="15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114.2%</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119.5%</w:t>
            </w:r>
          </w:p>
        </w:tc>
        <w:tc>
          <w:tcPr>
            <w:tcW w:w="120" w:type="dxa"/>
            <w:vAlign w:val="bottom"/>
          </w:tcPr>
          <w:p>
            <w:pPr>
              <w:spacing w:after="0"/>
              <w:rPr>
                <w:sz w:val="24"/>
                <w:szCs w:val="24"/>
                <w:color w:val="auto"/>
              </w:rPr>
            </w:pPr>
          </w:p>
        </w:tc>
      </w:tr>
      <w:tr>
        <w:trPr>
          <w:trHeight w:val="528"/>
        </w:trPr>
        <w:tc>
          <w:tcPr>
            <w:tcW w:w="4020" w:type="dxa"/>
            <w:vAlign w:val="bottom"/>
          </w:tcPr>
          <w:p>
            <w:pPr>
              <w:spacing w:after="0"/>
              <w:rPr>
                <w:sz w:val="20"/>
                <w:szCs w:val="20"/>
                <w:color w:val="auto"/>
              </w:rPr>
            </w:pPr>
            <w:r>
              <w:rPr>
                <w:rFonts w:ascii="Times New Roman" w:cs="Times New Roman" w:eastAsia="Times New Roman" w:hAnsi="Times New Roman"/>
                <w:sz w:val="22"/>
                <w:szCs w:val="22"/>
                <w:color w:val="auto"/>
              </w:rPr>
              <w:t>($ in thousands)</w:t>
            </w: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0"/>
        </w:trPr>
        <w:tc>
          <w:tcPr>
            <w:tcW w:w="4020" w:type="dxa"/>
            <w:vAlign w:val="bottom"/>
          </w:tcPr>
          <w:p>
            <w:pPr>
              <w:spacing w:after="0"/>
              <w:rPr>
                <w:sz w:val="20"/>
                <w:szCs w:val="20"/>
                <w:color w:val="auto"/>
              </w:rPr>
            </w:pPr>
            <w:r>
              <w:rPr>
                <w:rFonts w:ascii="Times New Roman" w:cs="Times New Roman" w:eastAsia="Times New Roman" w:hAnsi="Times New Roman"/>
                <w:sz w:val="22"/>
                <w:szCs w:val="22"/>
                <w:color w:val="auto"/>
              </w:rPr>
              <w:t>Inventory</w:t>
            </w:r>
          </w:p>
        </w:tc>
        <w:tc>
          <w:tcPr>
            <w:tcW w:w="15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   7,025,688</w:t>
            </w:r>
          </w:p>
        </w:tc>
        <w:tc>
          <w:tcPr>
            <w:tcW w:w="240" w:type="dxa"/>
            <w:vAlign w:val="bottom"/>
          </w:tcPr>
          <w:p>
            <w:pPr>
              <w:spacing w:after="0"/>
              <w:rPr>
                <w:sz w:val="23"/>
                <w:szCs w:val="23"/>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6,155,218</w:t>
            </w:r>
          </w:p>
        </w:tc>
        <w:tc>
          <w:tcPr>
            <w:tcW w:w="120" w:type="dxa"/>
            <w:vAlign w:val="bottom"/>
          </w:tcPr>
          <w:p>
            <w:pPr>
              <w:spacing w:after="0"/>
              <w:rPr>
                <w:sz w:val="23"/>
                <w:szCs w:val="23"/>
                <w:color w:val="auto"/>
              </w:rPr>
            </w:pPr>
          </w:p>
        </w:tc>
      </w:tr>
      <w:tr>
        <w:trPr>
          <w:trHeight w:val="270"/>
        </w:trPr>
        <w:tc>
          <w:tcPr>
            <w:tcW w:w="4020" w:type="dxa"/>
            <w:vAlign w:val="bottom"/>
          </w:tcPr>
          <w:p>
            <w:pPr>
              <w:spacing w:after="0"/>
              <w:rPr>
                <w:sz w:val="20"/>
                <w:szCs w:val="20"/>
                <w:color w:val="auto"/>
              </w:rPr>
            </w:pPr>
            <w:r>
              <w:rPr>
                <w:rFonts w:ascii="Times New Roman" w:cs="Times New Roman" w:eastAsia="Times New Roman" w:hAnsi="Times New Roman"/>
                <w:sz w:val="22"/>
                <w:szCs w:val="22"/>
                <w:color w:val="auto"/>
              </w:rPr>
              <w:t>Inventory per store</w:t>
            </w:r>
          </w:p>
        </w:tc>
        <w:tc>
          <w:tcPr>
            <w:tcW w:w="15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918</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837</w:t>
            </w:r>
          </w:p>
        </w:tc>
        <w:tc>
          <w:tcPr>
            <w:tcW w:w="120" w:type="dxa"/>
            <w:vAlign w:val="bottom"/>
          </w:tcPr>
          <w:p>
            <w:pPr>
              <w:spacing w:after="0"/>
              <w:rPr>
                <w:sz w:val="23"/>
                <w:szCs w:val="23"/>
                <w:color w:val="auto"/>
              </w:rPr>
            </w:pPr>
          </w:p>
        </w:tc>
      </w:tr>
      <w:tr>
        <w:trPr>
          <w:trHeight w:val="270"/>
        </w:trPr>
        <w:tc>
          <w:tcPr>
            <w:tcW w:w="4020" w:type="dxa"/>
            <w:vAlign w:val="bottom"/>
          </w:tcPr>
          <w:p>
            <w:pPr>
              <w:spacing w:after="0"/>
              <w:rPr>
                <w:sz w:val="20"/>
                <w:szCs w:val="20"/>
                <w:color w:val="auto"/>
              </w:rPr>
            </w:pPr>
            <w:r>
              <w:rPr>
                <w:rFonts w:ascii="Times New Roman" w:cs="Times New Roman" w:eastAsia="Times New Roman" w:hAnsi="Times New Roman"/>
                <w:sz w:val="22"/>
                <w:szCs w:val="22"/>
                <w:color w:val="auto"/>
              </w:rPr>
              <w:t>Net inventory (net of payables)</w:t>
            </w: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(999,902)</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(1,200,483)</w:t>
            </w:r>
          </w:p>
        </w:tc>
        <w:tc>
          <w:tcPr>
            <w:tcW w:w="120" w:type="dxa"/>
            <w:vAlign w:val="bottom"/>
          </w:tcPr>
          <w:p>
            <w:pPr>
              <w:spacing w:after="0"/>
              <w:rPr>
                <w:sz w:val="23"/>
                <w:szCs w:val="23"/>
                <w:color w:val="auto"/>
              </w:rPr>
            </w:pPr>
          </w:p>
        </w:tc>
      </w:tr>
      <w:tr>
        <w:trPr>
          <w:trHeight w:val="282"/>
        </w:trPr>
        <w:tc>
          <w:tcPr>
            <w:tcW w:w="4020" w:type="dxa"/>
            <w:vAlign w:val="bottom"/>
          </w:tcPr>
          <w:p>
            <w:pPr>
              <w:spacing w:after="0"/>
              <w:rPr>
                <w:sz w:val="20"/>
                <w:szCs w:val="20"/>
                <w:color w:val="auto"/>
              </w:rPr>
            </w:pPr>
            <w:r>
              <w:rPr>
                <w:rFonts w:ascii="Times New Roman" w:cs="Times New Roman" w:eastAsia="Times New Roman" w:hAnsi="Times New Roman"/>
                <w:sz w:val="22"/>
                <w:szCs w:val="22"/>
                <w:color w:val="auto"/>
              </w:rPr>
              <w:t>Net inventory/per store</w:t>
            </w: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(131)</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(163)</w:t>
            </w:r>
          </w:p>
        </w:tc>
        <w:tc>
          <w:tcPr>
            <w:tcW w:w="120" w:type="dxa"/>
            <w:vAlign w:val="bottom"/>
          </w:tcPr>
          <w:p>
            <w:pPr>
              <w:spacing w:after="0"/>
              <w:rPr>
                <w:sz w:val="24"/>
                <w:szCs w:val="24"/>
                <w:color w:val="auto"/>
              </w:rPr>
            </w:pPr>
          </w:p>
        </w:tc>
      </w:tr>
      <w:tr>
        <w:trPr>
          <w:trHeight w:val="524"/>
        </w:trPr>
        <w:tc>
          <w:tcPr>
            <w:tcW w:w="4020" w:type="dxa"/>
            <w:vAlign w:val="bottom"/>
          </w:tcPr>
          <w:p>
            <w:pPr>
              <w:spacing w:after="0"/>
              <w:rPr>
                <w:sz w:val="24"/>
                <w:szCs w:val="24"/>
                <w:color w:val="auto"/>
              </w:rPr>
            </w:pPr>
          </w:p>
        </w:tc>
        <w:tc>
          <w:tcPr>
            <w:tcW w:w="3280" w:type="dxa"/>
            <w:vAlign w:val="bottom"/>
            <w:gridSpan w:val="4"/>
          </w:tcPr>
          <w:p>
            <w:pPr>
              <w:jc w:val="right"/>
              <w:ind w:right="632"/>
              <w:spacing w:after="0"/>
              <w:rPr>
                <w:sz w:val="20"/>
                <w:szCs w:val="20"/>
                <w:color w:val="auto"/>
              </w:rPr>
            </w:pPr>
            <w:r>
              <w:rPr>
                <w:rFonts w:ascii="Times New Roman" w:cs="Times New Roman" w:eastAsia="Times New Roman" w:hAnsi="Times New Roman"/>
                <w:sz w:val="22"/>
                <w:szCs w:val="22"/>
                <w:b w:val="1"/>
                <w:bCs w:val="1"/>
                <w:color w:val="auto"/>
              </w:rPr>
              <w:t>Trailing 5 Quarters</w:t>
            </w:r>
          </w:p>
        </w:tc>
        <w:tc>
          <w:tcPr>
            <w:tcW w:w="120" w:type="dxa"/>
            <w:vAlign w:val="bottom"/>
          </w:tcPr>
          <w:p>
            <w:pPr>
              <w:spacing w:after="0"/>
              <w:rPr>
                <w:sz w:val="24"/>
                <w:szCs w:val="24"/>
                <w:color w:val="auto"/>
              </w:rPr>
            </w:pPr>
          </w:p>
        </w:tc>
      </w:tr>
      <w:tr>
        <w:trPr>
          <w:trHeight w:val="286"/>
        </w:trPr>
        <w:tc>
          <w:tcPr>
            <w:tcW w:w="4020" w:type="dxa"/>
            <w:vAlign w:val="bottom"/>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w w:val="97"/>
              </w:rPr>
              <w:t>August 30, 2025</w:t>
            </w:r>
          </w:p>
        </w:tc>
        <w:tc>
          <w:tcPr>
            <w:tcW w:w="240" w:type="dxa"/>
            <w:vAlign w:val="bottom"/>
          </w:tcPr>
          <w:p>
            <w:pPr>
              <w:spacing w:after="0"/>
              <w:rPr>
                <w:sz w:val="24"/>
                <w:szCs w:val="24"/>
                <w:color w:val="auto"/>
              </w:rPr>
            </w:pPr>
          </w:p>
        </w:tc>
        <w:tc>
          <w:tcPr>
            <w:tcW w:w="15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w w:val="98"/>
              </w:rPr>
              <w:t>August 31, 2024</w:t>
            </w:r>
          </w:p>
        </w:tc>
        <w:tc>
          <w:tcPr>
            <w:tcW w:w="120" w:type="dxa"/>
            <w:vAlign w:val="bottom"/>
          </w:tcPr>
          <w:p>
            <w:pPr>
              <w:spacing w:after="0"/>
              <w:rPr>
                <w:sz w:val="24"/>
                <w:szCs w:val="24"/>
                <w:color w:val="auto"/>
              </w:rPr>
            </w:pPr>
          </w:p>
        </w:tc>
      </w:tr>
      <w:tr>
        <w:trPr>
          <w:trHeight w:val="277"/>
        </w:trPr>
        <w:tc>
          <w:tcPr>
            <w:tcW w:w="4020" w:type="dxa"/>
            <w:vAlign w:val="bottom"/>
          </w:tcPr>
          <w:p>
            <w:pPr>
              <w:spacing w:after="0"/>
              <w:rPr>
                <w:sz w:val="20"/>
                <w:szCs w:val="20"/>
                <w:color w:val="auto"/>
              </w:rPr>
            </w:pPr>
            <w:r>
              <w:rPr>
                <w:rFonts w:ascii="Times New Roman" w:cs="Times New Roman" w:eastAsia="Times New Roman" w:hAnsi="Times New Roman"/>
                <w:sz w:val="22"/>
                <w:szCs w:val="22"/>
                <w:color w:val="auto"/>
              </w:rPr>
              <w:t>Inventory turns</w:t>
            </w:r>
          </w:p>
        </w:tc>
        <w:tc>
          <w:tcPr>
            <w:tcW w:w="15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1.4</w:t>
            </w:r>
          </w:p>
        </w:tc>
        <w:tc>
          <w:tcPr>
            <w:tcW w:w="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x</w:t>
            </w:r>
          </w:p>
        </w:tc>
        <w:tc>
          <w:tcPr>
            <w:tcW w:w="260" w:type="dxa"/>
            <w:vAlign w:val="bottom"/>
          </w:tcPr>
          <w:p>
            <w:pPr>
              <w:spacing w:after="0"/>
              <w:rPr>
                <w:sz w:val="24"/>
                <w:szCs w:val="24"/>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1.5</w:t>
            </w:r>
          </w:p>
        </w:tc>
        <w:tc>
          <w:tcPr>
            <w:tcW w:w="120" w:type="dxa"/>
            <w:vAlign w:val="bottom"/>
          </w:tcPr>
          <w:p>
            <w:pPr>
              <w:spacing w:after="0"/>
              <w:rPr>
                <w:sz w:val="20"/>
                <w:szCs w:val="20"/>
                <w:color w:val="auto"/>
              </w:rPr>
            </w:pPr>
            <w:r>
              <w:rPr>
                <w:rFonts w:ascii="Times New Roman" w:cs="Times New Roman" w:eastAsia="Times New Roman" w:hAnsi="Times New Roman"/>
                <w:sz w:val="22"/>
                <w:szCs w:val="22"/>
                <w:color w:val="auto"/>
                <w:w w:val="90"/>
              </w:rPr>
              <w:t>x</w:t>
            </w:r>
          </w:p>
        </w:tc>
      </w:tr>
    </w:tbl>
    <w:p>
      <w:pPr>
        <w:spacing w:after="0" w:line="1" w:lineRule="exact"/>
        <w:rPr>
          <w:sz w:val="20"/>
          <w:szCs w:val="20"/>
          <w:color w:val="auto"/>
        </w:rPr>
      </w:pPr>
    </w:p>
    <w:sectPr>
      <w:pgSz w:w="11900" w:h="16838" w:orient="portrait"/>
      <w:cols w:equalWidth="0" w:num="1">
        <w:col w:w="9919"/>
      </w:cols>
      <w:pgMar w:left="5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2025-09-23T06:00:52Z</dcterms:created>
  <dcterms:modified xsi:type="dcterms:W3CDTF">2025-09-23T06:00:52Z</dcterms:modified>
</cp:coreProperties>
</file>