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400"/>
          </w:cols>
          <w:pgMar w:left="460" w:top="217" w:right="4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RHODES WILLIAM C III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5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240"/>
          </w:cols>
          <w:pgMar w:left="460" w:top="217" w:right="459" w:bottom="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27,500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1,060.81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39,539.0463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3,717.17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39,410.0463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3,710.67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39,093.0463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3,719.5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38,764.0463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3,712.05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38,227.0463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3,712.94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37,519.0463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3,715.02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36,789.0463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3,716.38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35,831.0463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3,706.57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34,717.0463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1,149.0463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3,700.78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33,568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1,671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3,718.43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31,897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3,703.47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29,983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3,707.64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28,057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3,709.69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26,049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3,702.54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(14)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23,834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2,438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3,704.5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21,396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2,464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3,708.63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(16)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18,932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3,705.48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(17)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16,409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3,493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12,916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4,370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3,713.67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(18)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#2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1,936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Descendants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0980"/>
          </w:cols>
          <w:pgMar w:left="460" w:top="217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36322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363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1,060.81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(19)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10/08/2029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27,500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$3,717.00 - $3,717.75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$3,710.30 - $3,710.96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$3,719.21 - $3,720.00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$3,711.53 - $3,712.48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$3,712.55 - $3,713.42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$3,714.75 - $3,715.23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$3,715.92 - $3,716.79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$3,706.10 - $3,707.09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$3,700.78 - $3,701.47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$3,718.02 - $3,718.59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$3,702.93 - $3,703.80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$3,707.12 - $3,708.07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$3,709.18 - $3,710.13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$3,701.92 - $3,702.83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$3,703.98 - $3,704.96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$3,708.17 - $3,709.16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$3,704.99 - $3,705.98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Share, of Issuer, of sales that were executed at prices ranging from $3,713.57 - $3,714.48 per Share. The Reporting Person undertakes to provide, upon request by the SEC staff, the Issuer or a security holder of the Issuer, full information regarding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2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are granted in accordance with the Amended and Restated AutoZone, Inc. 2011 Equity Incentive Award Plan and exercisable in one-fourth increments on September 25, 2020, 2021, 2022 and 2023, respectively.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C. Rhodes III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06/12/2025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80992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2025-06-12T15:58:01Z</dcterms:created>
  <dcterms:modified xsi:type="dcterms:W3CDTF">2025-06-12T15:58:01Z</dcterms:modified>
</cp:coreProperties>
</file>