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Daniele Philip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SOUTH FRONT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MEMPHIS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838"/>
        <w:gridCol w:w="1231"/>
        <w:gridCol w:w="99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587.13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335.6451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1,948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Trustee for Family Trust #1</w:t>
            </w:r>
          </w:p>
        </w:tc>
      </w:tr>
    </w:tbl>
    <w:tbl>
      <w:tblPr>
        <w:tblW w:w="1218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8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587.13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09/27/2027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granted in accordance with the Amended and Restated AutoZone, Inc. 2011 Equity Incentive Award Plan and became exercisable in one-fourth increments on September 26, 2018, 2019, 2020 and 2021, respectively.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Philip B. Daniele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7348" TargetMode="External"/><Relationship Id="rId5" Type="http://schemas.openxmlformats.org/officeDocument/2006/relationships/hyperlink" Target="http://www.sec.gov/cgi-bin/browse-edgar?action=getcompany&amp;CIK=00008667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3366</Characters>
  <CharactersWithSpaces>3905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