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tm2619274d5_fwp.htm"/>
      <w:bookmarkStart w:id="1" w:name="kstm2619274d5_fwp"/>
      <w:bookmarkEnd w:id="0"/>
      <w:bookmarkEnd w:id="1"/>
      <w:r>
        <w:rPr>
          <w:rFonts w:ascii="Times New Roman;Times;Serif" w:hAnsi="Times New Roman;Times;Serif"/>
          <w:b w:val="false"/>
          <w:i w:val="false"/>
          <w:caps w:val="false"/>
          <w:smallCaps w:val="false"/>
          <w:sz w:val="20"/>
        </w:rPr>
        <w:t>Issuer Free Writing Prospectus, dated July 7,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 under the Securities Act of 1933, as amended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Supplementing the Preliminary Prospectus Supplement, dated July 7,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333-297291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AutoZone,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$850,000,000 4.950%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Senior Notes due 2031 (the “</w:t>
      </w:r>
      <w:r>
        <w:rPr>
          <w:rFonts w:ascii="Times New Roman;Times;Serif" w:hAnsi="Times New Roman;Times;Serif"/>
          <w:b/>
          <w:i w:val="false"/>
          <w:caps w:val="false"/>
          <w:smallCaps w:val="false"/>
          <w:sz w:val="20"/>
          <w:u w:val="single"/>
        </w:rPr>
        <w:t>Notes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7, 2026</w:t>
      </w:r>
    </w:p>
    <w:p>
      <w:pPr>
        <w:pStyle w:val="TextBody"/>
        <w:bidi w:val="0"/>
        <w:spacing w:before="0" w:after="0"/>
        <w:ind w:left="0" w:right="0" w:hanging="0"/>
        <w:jc w:val="center"/>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2585"/>
        <w:gridCol w:w="5765"/>
      </w:tblGrid>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AutoZone, Inc. (the “</w:t>
            </w:r>
            <w:r>
              <w:rPr>
                <w:rFonts w:ascii="Times New Roman;Times;Serif" w:hAnsi="Times New Roman;Times;Serif"/>
                <w:sz w:val="20"/>
                <w:u w:val="single"/>
              </w:rPr>
              <w:t>Company</w:t>
            </w:r>
            <w:r>
              <w:rPr>
                <w:rFonts w:ascii="Times New Roman;Times;Serif" w:hAnsi="Times New Roman;Times;Serif"/>
                <w:sz w:val="20"/>
              </w:rPr>
              <w:t>”)</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Trade Date: </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7, 2026</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5765" w:type="dxa"/>
            <w:tcBorders/>
            <w:vAlign w:val="center"/>
          </w:tcPr>
          <w:p>
            <w:pPr>
              <w:pStyle w:val="TableContents"/>
              <w:bidi w:val="0"/>
              <w:spacing w:before="0" w:after="283"/>
              <w:jc w:val="both"/>
              <w:rPr/>
            </w:pPr>
            <w:r>
              <w:rPr>
                <w:rFonts w:ascii="Times New Roman;Times;Serif" w:hAnsi="Times New Roman;Times;Serif"/>
                <w:sz w:val="20"/>
              </w:rPr>
              <w:t>July 14, 2026</w:t>
            </w:r>
            <w:r>
              <w:rPr/>
              <w:t xml:space="preserve"> </w:t>
            </w:r>
            <w:r>
              <w:rPr>
                <w:sz w:val="20"/>
              </w:rPr>
              <w:t>(T+5)*</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$850,000,000 4.950% Senior Notes due 2031</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$850,000,000</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15, 2031</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15 and July 15 of each year, commencing on January 15, 2027</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 Dates:</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1 and July 1</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UST 4.125% due June 30, 2031</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Treasury Yield:</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4.251%</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Treasury:</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+72 basis points</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Yield to Maturity:</w:t>
            </w:r>
          </w:p>
        </w:tc>
        <w:tc>
          <w:tcPr>
            <w:tcW w:w="5765" w:type="dxa"/>
            <w:tcBorders/>
            <w:vAlign w:val="center"/>
          </w:tcPr>
          <w:p>
            <w:pPr>
              <w:pStyle w:val="TableContents"/>
              <w:bidi w:val="0"/>
              <w:spacing w:before="0" w:after="283"/>
              <w:jc w:val="both"/>
              <w:rPr/>
            </w:pPr>
            <w:r>
              <w:rPr>
                <w:rFonts w:ascii="Times New Roman;Times;Serif" w:hAnsi="Times New Roman;Times;Serif"/>
                <w:sz w:val="20"/>
              </w:rPr>
              <w:t>4</w:t>
            </w:r>
            <w:r>
              <w:rPr>
                <w:sz w:val="20"/>
              </w:rPr>
              <w:t>.971%</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(Interest Rate):</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4.950%</w:t>
            </w:r>
          </w:p>
        </w:tc>
      </w:tr>
      <w:tr>
        <w:trPr/>
        <w:tc>
          <w:tcPr>
            <w:tcW w:w="258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both"/>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99.908%</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84"/>
        <w:gridCol w:w="8821"/>
      </w:tblGrid>
      <w:tr>
        <w:trPr/>
        <w:tc>
          <w:tcPr>
            <w:tcW w:w="1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 Provision:</w:t>
            </w:r>
          </w:p>
        </w:tc>
        <w:tc>
          <w:tcPr>
            <w:tcW w:w="8821" w:type="dxa"/>
            <w:tcBorders/>
            <w:vAlign w:val="center"/>
          </w:tcPr>
          <w:p>
            <w:pPr>
              <w:pStyle w:val="TableContents"/>
              <w:bidi w:val="0"/>
              <w:spacing w:before="0" w:after="283"/>
              <w:jc w:val="both"/>
              <w:rPr/>
            </w:pPr>
            <w:r>
              <w:rPr/>
              <w:t xml:space="preserve">The Notes will be redeemable at the Company’s option at any time in whole or from time to time in part. </w:t>
              <w:br/>
              <w:br/>
              <w:t>Prior to June 15, 2031 (one month prior to their maturity date) (the “</w:t>
            </w:r>
            <w:r>
              <w:rPr>
                <w:u w:val="single"/>
              </w:rPr>
              <w:t>Par Call Date</w:t>
            </w:r>
            <w:r>
              <w:rPr/>
              <w:t>”), the Company may redeem the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to be redeemed matured on the Par Call Date) on a semi-annual basis (assuming a 360-day year consisting of twelve 30-day months) at the Treasury Rate (as defined in the Preliminary Prospectus Supplement) plus 15 basis points less (b) interest accrued to, but not including, the date of redemption, and (2) 100% of the principal amount of the Notes to be redeemed, plus, in either case, accrued and unpaid interest thereon to, but not including, the redemption date.</w:t>
              <w:br/>
              <w:br/>
              <w:t xml:space="preserve">On or after the Par Call Date, the Company may redeem the Notes, in whole or in part, at any time and from time to time, at a redemption price equal to 100% of the principal amount of the Notes being redeemed plus accrued and unpaid interest on the Notes to be redeemed to, but not including, the redemption date. </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both"/>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Control:</w:t>
            </w:r>
          </w:p>
        </w:tc>
        <w:tc>
          <w:tcPr>
            <w:tcW w:w="8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occurrence of a Change of Control Triggering Event (as defined in the Preliminary Prospectus Supplement) will require the Company to offer to repurchase the Notes for cash at a price equal to 101% of the principal amount together with accrued and unpaid interest, if any, to the date of repurchase. </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both"/>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CUSIP/ISIN:</w:t>
            </w:r>
          </w:p>
        </w:tc>
        <w:tc>
          <w:tcPr>
            <w:tcW w:w="8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053332 BN1 / US053332BN18</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both"/>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Ratings**:</w:t>
            </w:r>
          </w:p>
        </w:tc>
        <w:tc>
          <w:tcPr>
            <w:tcW w:w="8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Baa1 / BBB / BBB</w:t>
            </w:r>
          </w:p>
        </w:tc>
      </w:tr>
      <w:tr>
        <w:trPr/>
        <w:tc>
          <w:tcPr>
            <w:tcW w:w="1384" w:type="dxa"/>
            <w:tcBorders/>
            <w:vAlign w:val="center"/>
          </w:tcPr>
          <w:p>
            <w:pPr>
              <w:pStyle w:val="TableContents"/>
              <w:bidi w:val="0"/>
              <w:spacing w:before="0" w:after="283"/>
              <w:jc w:val="left"/>
              <w:rPr/>
            </w:pPr>
            <w:r>
              <w:rPr/>
              <w:t> </w:t>
            </w:r>
          </w:p>
        </w:tc>
        <w:tc>
          <w:tcPr>
            <w:tcW w:w="8821" w:type="dxa"/>
            <w:tcBorders/>
            <w:vAlign w:val="center"/>
          </w:tcPr>
          <w:p>
            <w:pPr>
              <w:pStyle w:val="TableContents"/>
              <w:bidi w:val="0"/>
              <w:spacing w:before="0" w:after="283"/>
              <w:jc w:val="both"/>
              <w:rPr/>
            </w:pPr>
            <w:r>
              <w:rPr/>
              <w:t> </w:t>
            </w:r>
          </w:p>
        </w:tc>
      </w:tr>
      <w:tr>
        <w:trPr/>
        <w:tc>
          <w:tcPr>
            <w:tcW w:w="1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821" w:type="dxa"/>
            <w:tcBorders/>
            <w:vAlign w:val="center"/>
          </w:tcPr>
          <w:p>
            <w:pPr>
              <w:pStyle w:val="TableContents"/>
              <w:bidi w:val="0"/>
              <w:spacing w:before="0" w:after="283"/>
              <w:jc w:val="both"/>
              <w:rPr/>
            </w:pPr>
            <w:r>
              <w:rPr/>
              <w:t xml:space="preserve">BofA Securities, Inc. </w:t>
              <w:br/>
              <w:t>J.P. Morgan Securities LLC</w:t>
              <w:br/>
              <w:t>Truist Securities, Inc.</w:t>
              <w:br/>
              <w:t>U.S. Bancorp Investments, Inc.</w:t>
              <w:br/>
              <w:t>Wells Fargo Securities, LLC</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515" w:type="dxa"/>
        <w:jc w:val="left"/>
        <w:tblInd w:w="0" w:type="dxa"/>
        <w:tblLayout w:type="fixed"/>
        <w:tblCellMar>
          <w:top w:w="0" w:type="dxa"/>
          <w:left w:w="0" w:type="dxa"/>
          <w:bottom w:w="0" w:type="dxa"/>
          <w:right w:w="0" w:type="dxa"/>
        </w:tblCellMar>
      </w:tblPr>
      <w:tblGrid>
        <w:gridCol w:w="1760"/>
        <w:gridCol w:w="3755"/>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Co-Managers:</w:t>
            </w:r>
          </w:p>
        </w:tc>
        <w:tc>
          <w:tcPr>
            <w:tcW w:w="3755" w:type="dxa"/>
            <w:tcBorders/>
            <w:vAlign w:val="center"/>
          </w:tcPr>
          <w:p>
            <w:pPr>
              <w:pStyle w:val="TableContents"/>
              <w:bidi w:val="0"/>
              <w:spacing w:before="0" w:after="283"/>
              <w:jc w:val="both"/>
              <w:rPr/>
            </w:pPr>
            <w:r>
              <w:rPr/>
              <w:t xml:space="preserve">Mizuho Securities USA LLC </w:t>
              <w:br/>
              <w:t>PNC Capital Markets LLC</w:t>
            </w:r>
          </w:p>
        </w:tc>
      </w:tr>
      <w:tr>
        <w:trPr/>
        <w:tc>
          <w:tcPr>
            <w:tcW w:w="17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3755" w:type="dxa"/>
            <w:tcBorders/>
            <w:vAlign w:val="center"/>
          </w:tcPr>
          <w:p>
            <w:pPr>
              <w:pStyle w:val="TableContents"/>
              <w:bidi w:val="0"/>
              <w:spacing w:before="0" w:after="283"/>
              <w:jc w:val="both"/>
              <w:rPr/>
            </w:pPr>
            <w:r>
              <w:rPr/>
              <w:t xml:space="preserve">BBVA Securities Inc. </w:t>
              <w:br/>
              <w:t xml:space="preserve">Capital One Securities, Inc. </w:t>
              <w:br/>
              <w:t xml:space="preserve">Citigroup Global Markets Inc. </w:t>
              <w:br/>
              <w:t xml:space="preserve">Citizens JMP Securities, LLC </w:t>
              <w:br/>
              <w:t>Credit Agricole Securities (USA) Inc.</w:t>
              <w:br/>
              <w:t xml:space="preserve">Deutsche Bank Securities Inc. </w:t>
              <w:br/>
              <w:t xml:space="preserve">Fifth Third Securities, Inc. </w:t>
              <w:br/>
              <w:t>Huntington Securities, Inc.</w:t>
              <w:br/>
              <w:t xml:space="preserve">KeyBanc Capital Markets Inc. </w:t>
              <w:br/>
              <w:t xml:space="preserve">MUFG Securities Americas Inc. </w:t>
              <w:br/>
              <w:t>PNC Capital Markets LLC</w:t>
              <w:br/>
              <w:t xml:space="preserve">Regions Securities LLC </w:t>
              <w:br/>
              <w:t xml:space="preserve">Santander US Capital Markets LLC </w:t>
              <w:br/>
              <w:t xml:space="preserve">SMBC Nikko Securities America, Inc. </w:t>
              <w:br/>
              <w:t xml:space="preserve">TD Securities (USA) LLC </w:t>
              <w:br/>
              <w:t>Siebert Williams Shank &amp; Co.,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notes will be made to investors on or about July 14, 2026, which will be the fifth business day following the date of pricing of the notes (such settlement being referred to as “T+5”). Under Rule 15c6-1 under the Exchange Act, trades in the secondary market are required to settle in one business day, unless the parties to any such trade expressly agree otherwise. Accordingly, purchasers who wish to trade notes prior to the business day preceding the delivery of the notes hereunder will be required, by virtue of the fact that the notes will initially settle in T+5, to specify an alternate settlement arrangement at the time of any such trade to prevent a failed settlement. Purchasers of the notes who wish to trade the notes prior to the business day preceding their date of delivery hereunder should consult their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securities rating is not a recommendation to buy, sell or hold a security and may be subject to revision or withdrawal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Company has filed a registration statement (including a preliminary prospectus supplement and prospectus) with the Securities and Exchange Commission for the offering to which this communication relates. Before you invest, you should read the preliminary prospectus supplement and prospectus in that registration statement and other documents the issuer has filed with the Securities and Exchange Commission for more complete information about the issuer and this offering. You may get these documents for free by visiting EDGAR on the Securities and Exchange Commission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i w:val="false"/>
          <w:caps w:val="false"/>
          <w:smallCaps w:val="false"/>
          <w:sz w:val="20"/>
        </w:rPr>
        <w:t>. Alternatively, the issuer, any underwriter or any dealer participating in the offering will arrange to send you the prospectus if you request it by calling BofA Securities, Inc. toll free at 1-800-294-1322, J.P. Morgan Securities LLC collect at 1-212-834-4533, Truist Securities, Inc. toll free at 1-800-685-4786 or U.S. Bancorp Investments, Inc. toll free at 1-877-558-2607.</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4502</Characters>
  <CharactersWithSpaces>5382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