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403d1_8k.htm"/>
      <w:bookmarkStart w:id="1" w:name="kstm262040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br/>
      </w: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br/>
      </w: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 xml:space="preserve">FORM </w:t>
      </w:r>
      <w:bookmarkStart w:id="2" w:name="xdx_908_edei--DocumentType_c20260714__20"/>
      <w:bookmarkEnd w:id="2"/>
      <w:r>
        <w:rPr>
          <w:rFonts w:ascii="Times New Roman;Times;Serif" w:hAnsi="Times New Roman;Times;Serif"/>
          <w:b/>
          <w:i w:val="false"/>
          <w:caps/>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July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2_edei--EntityRegistrantName_c2026"/>
      <w:bookmarkEnd w:id="4"/>
      <w:r>
        <w:rPr>
          <w:rFonts w:ascii="Times New Roman;Times;Serif" w:hAnsi="Times New Roman;Times;Serif"/>
          <w:b/>
          <w:i w:val="false"/>
          <w:caps w:val="false"/>
          <w:smallCaps w:val="false"/>
          <w:sz w:val="28"/>
        </w:rPr>
        <w:t>AUTOZONE,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2465"/>
        <w:gridCol w:w="2210"/>
        <w:gridCol w:w="2915"/>
      </w:tblGrid>
      <w:tr>
        <w:trPr/>
        <w:tc>
          <w:tcPr>
            <w:tcW w:w="2465" w:type="dxa"/>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Nevada</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0714"/>
            <w:bookmarkEnd w:id="6"/>
            <w:r>
              <w:rPr>
                <w:rFonts w:ascii="Times New Roman;Times;Serif" w:hAnsi="Times New Roman;Times;Serif"/>
                <w:b/>
                <w:sz w:val="20"/>
              </w:rPr>
              <w:t>1-10714</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62-1482048</w:t>
            </w:r>
          </w:p>
        </w:tc>
      </w:tr>
      <w:tr>
        <w:trPr/>
        <w:tc>
          <w:tcPr>
            <w:tcW w:w="24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123 South Front Street</w:t>
      </w:r>
    </w:p>
    <w:p>
      <w:pPr>
        <w:pStyle w:val="TextBody"/>
        <w:bidi w:val="0"/>
        <w:spacing w:before="0" w:after="0"/>
        <w:jc w:val="center"/>
        <w:rPr>
          <w:rFonts w:ascii="Times New Roman;Times;Serif" w:hAnsi="Times New Roman;Times;Serif"/>
          <w:b w:val="false"/>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Memphis, </w:t>
      </w:r>
      <w:bookmarkStart w:id="10" w:name="xdx_906_edei--EntityAddressStateOrProvin"/>
      <w:bookmarkEnd w:id="10"/>
      <w:r>
        <w:rPr>
          <w:rFonts w:ascii="Times New Roman;Times;Serif" w:hAnsi="Times New Roman;Times;Serif"/>
          <w:b/>
          <w:i w:val="false"/>
          <w:caps w:val="false"/>
          <w:smallCaps w:val="false"/>
          <w:sz w:val="20"/>
        </w:rPr>
        <w:t>Tennessee</w:t>
      </w:r>
      <w:r>
        <w:rPr>
          <w:rFonts w:ascii="Times New Roman;Times;Serif" w:hAnsi="Times New Roman;Times;Serif"/>
          <w:b w:val="false"/>
          <w:i w:val="false"/>
          <w:caps w:val="false"/>
          <w:smallCaps w:val="false"/>
          <w:sz w:val="20"/>
        </w:rPr>
        <w:t xml:space="preserve"> </w:t>
      </w:r>
      <w:bookmarkStart w:id="11" w:name="xdx_90F_edei--EntityAddressPostalZipCode"/>
      <w:bookmarkEnd w:id="11"/>
      <w:r>
        <w:rPr>
          <w:rFonts w:ascii="Times New Roman;Times;Serif" w:hAnsi="Times New Roman;Times;Serif"/>
          <w:b/>
          <w:i w:val="false"/>
          <w:caps w:val="false"/>
          <w:smallCaps w:val="false"/>
          <w:sz w:val="20"/>
        </w:rPr>
        <w:t>38103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A_edei--CityAreaCode_c20260714__20"/>
      <w:bookmarkEnd w:id="12"/>
      <w:r>
        <w:rPr>
          <w:rFonts w:ascii="Times New Roman;Times;Serif" w:hAnsi="Times New Roman;Times;Serif"/>
          <w:b/>
          <w:i w:val="false"/>
          <w:caps w:val="false"/>
          <w:smallCaps w:val="false"/>
          <w:sz w:val="20"/>
        </w:rPr>
        <w:t xml:space="preserve">901) </w:t>
      </w:r>
      <w:bookmarkStart w:id="13" w:name="xdx_90D_edei--LocalPhoneNumber_c20260714"/>
      <w:bookmarkEnd w:id="13"/>
      <w:r>
        <w:rPr>
          <w:rFonts w:ascii="Times New Roman;Times;Serif" w:hAnsi="Times New Roman;Times;Serif"/>
          <w:b/>
          <w:i w:val="false"/>
          <w:caps w:val="false"/>
          <w:smallCaps w:val="false"/>
          <w:sz w:val="20"/>
        </w:rPr>
        <w:t>495-6500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1020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tc>
      </w:tr>
      <w:tr>
        <w:trPr/>
        <w:tc>
          <w:tcPr>
            <w:tcW w:w="325" w:type="dxa"/>
            <w:tcBorders/>
            <w:vAlign w:val="center"/>
          </w:tcPr>
          <w:p>
            <w:pPr>
              <w:pStyle w:val="TableContents"/>
              <w:bidi w:val="0"/>
              <w:spacing w:before="0" w:after="283"/>
              <w:jc w:val="left"/>
              <w:rPr/>
            </w:pPr>
            <w:bookmarkStart w:id="14" w:name="xdx_902_edei--WrittenCommunications_c202"/>
            <w:bookmarkEnd w:id="14"/>
            <w:r>
              <w:rPr/>
              <w:t>☐</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25" w:type="dxa"/>
            <w:tcBorders/>
            <w:vAlign w:val="center"/>
          </w:tcPr>
          <w:p>
            <w:pPr>
              <w:pStyle w:val="TableContents"/>
              <w:bidi w:val="0"/>
              <w:spacing w:before="0" w:after="283"/>
              <w:jc w:val="left"/>
              <w:rPr/>
            </w:pPr>
            <w:bookmarkStart w:id="15" w:name="xdx_90E_edei--SolicitingMaterial_c202607"/>
            <w:bookmarkEnd w:id="15"/>
            <w:r>
              <w:rPr/>
              <w:t>☐</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25" w:type="dxa"/>
            <w:tcBorders/>
            <w:vAlign w:val="center"/>
          </w:tcPr>
          <w:p>
            <w:pPr>
              <w:pStyle w:val="TableContents"/>
              <w:bidi w:val="0"/>
              <w:spacing w:before="0" w:after="283"/>
              <w:jc w:val="left"/>
              <w:rPr/>
            </w:pPr>
            <w:bookmarkStart w:id="16" w:name="xdx_909_edei--PreCommencementTenderOffer"/>
            <w:bookmarkEnd w:id="16"/>
            <w:r>
              <w:rPr/>
              <w:t>☐</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25" w:type="dxa"/>
            <w:tcBorders/>
            <w:vAlign w:val="center"/>
          </w:tcPr>
          <w:p>
            <w:pPr>
              <w:pStyle w:val="TableContents"/>
              <w:bidi w:val="0"/>
              <w:spacing w:before="0" w:after="283"/>
              <w:jc w:val="left"/>
              <w:rPr/>
            </w:pPr>
            <w:bookmarkStart w:id="17" w:name="xdx_90E_edei--PreCommencementIssuerTende"/>
            <w:bookmarkEnd w:id="17"/>
            <w:r>
              <w:rPr/>
              <w:t>☐</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28" w:type="dxa"/>
          <w:right w:w="0" w:type="dxa"/>
        </w:tblCellMar>
      </w:tblPr>
      <w:tblGrid>
        <w:gridCol w:w="3410"/>
        <w:gridCol w:w="60"/>
        <w:gridCol w:w="1535"/>
        <w:gridCol w:w="60"/>
        <w:gridCol w:w="359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bottom w:val="single" w:sz="8" w:space="0" w:color="000000"/>
            </w:tcBorders>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bottom w:val="single" w:sz="8" w:space="0" w:color="000000"/>
            </w:tcBorders>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E_edei--Security12bTitle_c20260714"/>
            <w:bookmarkEnd w:id="18"/>
            <w:r>
              <w:rPr>
                <w:rFonts w:ascii="Times New Roman;Times;Serif" w:hAnsi="Times New Roman;Times;Serif"/>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1_edei--TradingSymbol_c20260714__2"/>
            <w:bookmarkEnd w:id="19"/>
            <w:r>
              <w:rPr>
                <w:rFonts w:ascii="Times New Roman;Times;Serif" w:hAnsi="Times New Roman;Times;Serif"/>
                <w:sz w:val="20"/>
              </w:rPr>
              <w:t>AZO</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6"/>
            <w:bookmarkEnd w:id="20"/>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283"/>
              <w:jc w:val="left"/>
              <w:rPr>
                <w:b/>
                <w:sz w:val="20"/>
              </w:rPr>
            </w:pPr>
            <w:r>
              <w:rPr>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Item 2.03 of this report is incorporated by reference into this Item 1.01.</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8"/>
        <w:gridCol w:w="9357"/>
      </w:tblGrid>
      <w:tr>
        <w:trPr/>
        <w:tc>
          <w:tcPr>
            <w:tcW w:w="848" w:type="dxa"/>
            <w:tcBorders/>
            <w:vAlign w:val="center"/>
          </w:tcPr>
          <w:p>
            <w:pPr>
              <w:pStyle w:val="TableContents"/>
              <w:bidi w:val="0"/>
              <w:spacing w:before="0" w:after="283"/>
              <w:jc w:val="left"/>
              <w:rPr>
                <w:b/>
                <w:sz w:val="20"/>
              </w:rPr>
            </w:pPr>
            <w:r>
              <w:rPr>
                <w:b/>
                <w:sz w:val="20"/>
              </w:rPr>
              <w:t>Item 2.03.</w:t>
            </w:r>
          </w:p>
        </w:tc>
        <w:tc>
          <w:tcPr>
            <w:tcW w:w="9357" w:type="dxa"/>
            <w:tcBorders/>
            <w:vAlign w:val="center"/>
          </w:tcPr>
          <w:p>
            <w:pPr>
              <w:pStyle w:val="TableContents"/>
              <w:bidi w:val="0"/>
              <w:spacing w:before="0" w:after="283"/>
              <w:jc w:val="left"/>
              <w:rPr>
                <w:b/>
                <w:sz w:val="20"/>
              </w:rPr>
            </w:pPr>
            <w:r>
              <w:rPr>
                <w:b/>
                <w:sz w:val="20"/>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AutoZone, Inc. (the “Company”) completed the sale of $850,000,000 million aggregate principal amount of its 4.950% Senior Notes due 2031 (the “Notes”). The Notes bear interest at a fixed rate equal to 4.950% per year, payable semi-annually.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issued pursuant to an Indenture dated as of August 8, 2003 (the “Indenture”), between the Company and Regions Bank, as successor trustee, and were offered and sold pursuant to the Company’s shelf registration statement filed with the United States Securities and Exchange Commission (the “Commission”) on July 7, 2026, on Form S-3 (File No. 333-297291), as supplemented by a prospectus supplement dated July 7, 2026, filed with the Commission on July 9, 2026. Pursuant to the Indenture, the Company executed an Officers’ Certificate dated July 14, 2026, setting forth the terms of the Notes (the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interest on the Notes on January 15 and July 15 of each year, beginning on January 15, 2027. The Notes will mature on July 15, 2031. The Notes are senior unsecured debt obligations of the Company and rank equally with the Company’s other senior unsecured liabilities and senior to any future subordinated indebtedness of the Company. The Notes are subject to customary covenants restricting the Company’s ability, subject to certain exceptions, to incur debt secured by liens, to enter into sale and leaseback transactions or to merge or consolidate with another entity or sell substantially all of its assets to another person. The Indenture provides for customary events of default and further provides that the trustee or the holders of 25% in aggregate principal amount of the outstanding Notes may declare the Notes immediately due and payable upon the occurrence of any event of default after expiration of any grace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Notes at the Company’s option, at any time in whole or from time to time in part, with at least 10 days’ but not more than 60 days’ notice, at the redemption prices described in the Officers’ Certificate. If a change of control triggering event, as defined in the Officers’ Certificate, occurs, unless the Company has exercised its option to redeem the Notes, holders of the Notes may require the Company to repurchase the Notes at the prices described in the applicable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Officers’ Certificate and the Notes is qualified in its entirety by reference to the Officers’ Certificate pursuant to the Indenture setting forth the terms of the Notes, and the form of the Notes, copies of which are attached hereto as Exhibits 4.1 and 4.2,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8"/>
        <w:gridCol w:w="60"/>
        <w:gridCol w:w="9377"/>
      </w:tblGrid>
      <w:tr>
        <w:trPr/>
        <w:tc>
          <w:tcPr>
            <w:tcW w:w="768" w:type="dxa"/>
            <w:tcBorders>
              <w:bottom w:val="single" w:sz="8" w:space="0" w:color="000000"/>
            </w:tcBorders>
            <w:vAlign w:val="center"/>
          </w:tcPr>
          <w:p>
            <w:pPr>
              <w:pStyle w:val="TableContents"/>
              <w:bidi w:val="0"/>
              <w:spacing w:before="0" w:after="283"/>
              <w:jc w:val="center"/>
              <w:rPr/>
            </w:pPr>
            <w:r>
              <w:rPr/>
              <w:t xml:space="preserve">Exhibit </w:t>
              <w:br/>
              <w:t>No.</w:t>
            </w:r>
          </w:p>
        </w:tc>
        <w:tc>
          <w:tcPr>
            <w:tcW w:w="60" w:type="dxa"/>
            <w:tcBorders/>
            <w:tcMar>
              <w:bottom w:w="0" w:type="dxa"/>
            </w:tcMar>
            <w:vAlign w:val="center"/>
          </w:tcPr>
          <w:p>
            <w:pPr>
              <w:pStyle w:val="TableContents"/>
              <w:bidi w:val="0"/>
              <w:spacing w:before="0" w:after="283"/>
              <w:jc w:val="left"/>
              <w:rPr/>
            </w:pPr>
            <w:r>
              <w:rPr/>
              <w:t> </w:t>
            </w:r>
          </w:p>
        </w:tc>
        <w:tc>
          <w:tcPr>
            <w:tcW w:w="9377" w:type="dxa"/>
            <w:tcBorders>
              <w:bottom w:val="single" w:sz="8" w:space="0" w:color="000000"/>
            </w:tcBorders>
            <w:vAlign w:val="center"/>
          </w:tcPr>
          <w:p>
            <w:pPr>
              <w:pStyle w:val="TableContents"/>
              <w:bidi w:val="0"/>
              <w:spacing w:before="0" w:after="283"/>
              <w:jc w:val="center"/>
              <w:rPr/>
            </w:pPr>
            <w:r>
              <w:rPr/>
              <w:t>Description</w:t>
            </w:r>
          </w:p>
        </w:tc>
      </w:tr>
      <w:tr>
        <w:trPr/>
        <w:tc>
          <w:tcPr>
            <w:tcW w:w="768" w:type="dxa"/>
            <w:tcBorders/>
            <w:tcMar>
              <w:bottom w:w="0" w:type="dxa"/>
            </w:tcMar>
            <w:vAlign w:val="center"/>
          </w:tcPr>
          <w:p>
            <w:pPr>
              <w:pStyle w:val="TableContents"/>
              <w:bidi w:val="0"/>
              <w:spacing w:before="0" w:after="283"/>
              <w:jc w:val="left"/>
              <w:rPr/>
            </w:pPr>
            <w:hyperlink w:anchor="tm2620403d1_ex4-1.htm">
              <w:r>
                <w:rPr>
                  <w:rStyle w:val="InternetLink"/>
                </w:rPr>
                <w:t>4.1</w:t>
              </w:r>
            </w:hyperlink>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both"/>
              <w:rPr/>
            </w:pPr>
            <w:hyperlink w:anchor="tm2620403d1_ex4-1.htm">
              <w:r>
                <w:rPr>
                  <w:rStyle w:val="InternetLink"/>
                </w:rPr>
                <w:t>Officers’ Certificate for the Notes, pursuant to Section 3.2 of the Indenture, dated July 14, 2026, setting forth the terms of the Notes.</w:t>
              </w:r>
            </w:hyperlink>
          </w:p>
        </w:tc>
      </w:tr>
      <w:tr>
        <w:trPr/>
        <w:tc>
          <w:tcPr>
            <w:tcW w:w="7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both"/>
              <w:rPr/>
            </w:pPr>
            <w:r>
              <w:rPr/>
              <w:t> </w:t>
            </w:r>
          </w:p>
        </w:tc>
      </w:tr>
      <w:tr>
        <w:trPr/>
        <w:tc>
          <w:tcPr>
            <w:tcW w:w="768" w:type="dxa"/>
            <w:tcBorders/>
            <w:tcMar>
              <w:bottom w:w="0" w:type="dxa"/>
            </w:tcMar>
            <w:vAlign w:val="center"/>
          </w:tcPr>
          <w:p>
            <w:pPr>
              <w:pStyle w:val="TableContents"/>
              <w:bidi w:val="0"/>
              <w:spacing w:before="0" w:after="283"/>
              <w:jc w:val="left"/>
              <w:rPr/>
            </w:pPr>
            <w:hyperlink w:anchor="tm2620403d1_ex4-1.htm">
              <w:r>
                <w:rPr>
                  <w:rStyle w:val="InternetLink"/>
                </w:rPr>
                <w:t>4.2</w:t>
              </w:r>
            </w:hyperlink>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both"/>
              <w:rPr/>
            </w:pPr>
            <w:hyperlink w:anchor="tm2620403d1_ex4-1.htm">
              <w:r>
                <w:rPr>
                  <w:rStyle w:val="InternetLink"/>
                </w:rPr>
                <w:t>Form of 4.950% Note due 2031(included in Exhibit 4.1).</w:t>
              </w:r>
            </w:hyperlink>
          </w:p>
        </w:tc>
      </w:tr>
      <w:tr>
        <w:trPr/>
        <w:tc>
          <w:tcPr>
            <w:tcW w:w="7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both"/>
              <w:rPr/>
            </w:pPr>
            <w:r>
              <w:rPr/>
              <w:t> </w:t>
            </w:r>
          </w:p>
        </w:tc>
      </w:tr>
      <w:tr>
        <w:trPr/>
        <w:tc>
          <w:tcPr>
            <w:tcW w:w="768" w:type="dxa"/>
            <w:tcBorders/>
            <w:tcMar>
              <w:bottom w:w="0" w:type="dxa"/>
            </w:tcMar>
            <w:vAlign w:val="center"/>
          </w:tcPr>
          <w:p>
            <w:pPr>
              <w:pStyle w:val="TableContents"/>
              <w:bidi w:val="0"/>
              <w:spacing w:before="0" w:after="283"/>
              <w:jc w:val="left"/>
              <w:rPr/>
            </w:pPr>
            <w:hyperlink w:anchor="tm2620403d1_ex5-1.htm">
              <w:r>
                <w:rPr>
                  <w:rStyle w:val="InternetLink"/>
                </w:rPr>
                <w:t>5.1</w:t>
              </w:r>
            </w:hyperlink>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both"/>
              <w:rPr/>
            </w:pPr>
            <w:hyperlink w:anchor="tm2620403d1_ex5-1.htm">
              <w:r>
                <w:rPr>
                  <w:rStyle w:val="InternetLink"/>
                </w:rPr>
                <w:t>Opinion of Bass, Berry &amp; Sims PLC.</w:t>
              </w:r>
            </w:hyperlink>
          </w:p>
        </w:tc>
      </w:tr>
      <w:tr>
        <w:trPr/>
        <w:tc>
          <w:tcPr>
            <w:tcW w:w="7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both"/>
              <w:rPr/>
            </w:pPr>
            <w:r>
              <w:rPr/>
              <w:t> </w:t>
            </w:r>
          </w:p>
        </w:tc>
      </w:tr>
      <w:tr>
        <w:trPr/>
        <w:tc>
          <w:tcPr>
            <w:tcW w:w="768" w:type="dxa"/>
            <w:tcBorders/>
            <w:tcMar>
              <w:bottom w:w="0" w:type="dxa"/>
            </w:tcMar>
            <w:vAlign w:val="center"/>
          </w:tcPr>
          <w:p>
            <w:pPr>
              <w:pStyle w:val="TableContents"/>
              <w:bidi w:val="0"/>
              <w:spacing w:before="0" w:after="283"/>
              <w:jc w:val="left"/>
              <w:rPr/>
            </w:pPr>
            <w:hyperlink w:anchor="tm2620403d1_ex5-2.htm">
              <w:r>
                <w:rPr>
                  <w:rStyle w:val="InternetLink"/>
                </w:rPr>
                <w:t>5.2</w:t>
              </w:r>
            </w:hyperlink>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both"/>
              <w:rPr/>
            </w:pPr>
            <w:hyperlink w:anchor="tm2620403d1_ex5-2.htm">
              <w:r>
                <w:rPr>
                  <w:rStyle w:val="InternetLink"/>
                </w:rPr>
                <w:t>Opinion of Brownstein Hyatt Farber Schreck, LLP.</w:t>
              </w:r>
            </w:hyperlink>
          </w:p>
        </w:tc>
      </w:tr>
      <w:tr>
        <w:trPr/>
        <w:tc>
          <w:tcPr>
            <w:tcW w:w="7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both"/>
              <w:rPr/>
            </w:pPr>
            <w:r>
              <w:rPr/>
              <w:t> </w:t>
            </w:r>
          </w:p>
        </w:tc>
      </w:tr>
      <w:tr>
        <w:trPr/>
        <w:tc>
          <w:tcPr>
            <w:tcW w:w="768" w:type="dxa"/>
            <w:tcBorders/>
            <w:tcMar>
              <w:bottom w:w="0" w:type="dxa"/>
            </w:tcMar>
            <w:vAlign w:val="center"/>
          </w:tcPr>
          <w:p>
            <w:pPr>
              <w:pStyle w:val="TableContents"/>
              <w:bidi w:val="0"/>
              <w:spacing w:before="0" w:after="283"/>
              <w:jc w:val="left"/>
              <w:rPr/>
            </w:pPr>
            <w:hyperlink w:anchor="tm2620403d1_ex5-1.htm">
              <w:r>
                <w:rPr>
                  <w:rStyle w:val="InternetLink"/>
                </w:rPr>
                <w:t>23.1</w:t>
              </w:r>
            </w:hyperlink>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both"/>
              <w:rPr/>
            </w:pPr>
            <w:hyperlink w:anchor="tm2620403d1_ex5-1.htm">
              <w:r>
                <w:rPr>
                  <w:rStyle w:val="InternetLink"/>
                </w:rPr>
                <w:t>Consent of Bass, Berry &amp; Sims PLC (included in Exhibit 5.1).</w:t>
              </w:r>
            </w:hyperlink>
          </w:p>
        </w:tc>
      </w:tr>
      <w:tr>
        <w:trPr/>
        <w:tc>
          <w:tcPr>
            <w:tcW w:w="7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both"/>
              <w:rPr/>
            </w:pPr>
            <w:r>
              <w:rPr/>
              <w:t> </w:t>
            </w:r>
          </w:p>
        </w:tc>
      </w:tr>
      <w:tr>
        <w:trPr/>
        <w:tc>
          <w:tcPr>
            <w:tcW w:w="768" w:type="dxa"/>
            <w:tcBorders/>
            <w:tcMar>
              <w:bottom w:w="0" w:type="dxa"/>
            </w:tcMar>
            <w:vAlign w:val="center"/>
          </w:tcPr>
          <w:p>
            <w:pPr>
              <w:pStyle w:val="TableContents"/>
              <w:bidi w:val="0"/>
              <w:spacing w:before="0" w:after="283"/>
              <w:jc w:val="left"/>
              <w:rPr/>
            </w:pPr>
            <w:hyperlink w:anchor="tm2620403d1_ex5-2.htm">
              <w:r>
                <w:rPr>
                  <w:rStyle w:val="InternetLink"/>
                </w:rPr>
                <w:t>23.2</w:t>
              </w:r>
            </w:hyperlink>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both"/>
              <w:rPr/>
            </w:pPr>
            <w:hyperlink w:anchor="tm2620403d1_ex5-2.htm">
              <w:r>
                <w:rPr>
                  <w:rStyle w:val="InternetLink"/>
                </w:rPr>
                <w:t>Consent of Brownstein Hyatt Farber Schreck, LLP (included in Exhibit 5.2).</w:t>
              </w:r>
            </w:hyperlink>
          </w:p>
        </w:tc>
      </w:tr>
      <w:tr>
        <w:trPr/>
        <w:tc>
          <w:tcPr>
            <w:tcW w:w="7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both"/>
              <w:rPr/>
            </w:pPr>
            <w:r>
              <w:rPr/>
              <w:t> </w:t>
            </w:r>
          </w:p>
        </w:tc>
      </w:tr>
      <w:tr>
        <w:trPr/>
        <w:tc>
          <w:tcPr>
            <w:tcW w:w="768"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Cover Page Interactive Date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5256" w:right="0" w:hanging="0"/>
        <w:jc w:val="left"/>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1625"/>
        <w:gridCol w:w="320"/>
        <w:gridCol w:w="1895"/>
      </w:tblGrid>
      <w:tr>
        <w:trPr/>
        <w:tc>
          <w:tcPr>
            <w:tcW w:w="162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b/>
              </w:rPr>
            </w:pPr>
            <w:r>
              <w:rPr>
                <w:b/>
              </w:rPr>
              <w:t>AUTOZONE, INC.</w:t>
            </w:r>
          </w:p>
        </w:tc>
      </w:tr>
      <w:tr>
        <w:trPr/>
        <w:tc>
          <w:tcPr>
            <w:tcW w:w="162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14, 2026</w:t>
            </w:r>
          </w:p>
        </w:tc>
        <w:tc>
          <w:tcPr>
            <w:tcW w:w="320" w:type="dxa"/>
            <w:tcBorders/>
            <w:vAlign w:val="center"/>
          </w:tcPr>
          <w:p>
            <w:pPr>
              <w:pStyle w:val="TableContents"/>
              <w:bidi w:val="0"/>
              <w:spacing w:before="0" w:after="283"/>
              <w:jc w:val="left"/>
              <w:rPr>
                <w:sz w:val="20"/>
              </w:rPr>
            </w:pPr>
            <w:r>
              <w:rPr>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Jamere Jackson</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Jamere Jackson</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5256"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5256" w:right="0" w:hanging="0"/>
        <w:jc w:val="left"/>
        <w:rPr>
          <w:caps w:val="false"/>
          <w:smallCaps w:val="false"/>
        </w:rPr>
      </w:pPr>
      <w:r>
        <w:rPr>
          <w:caps w:val="false"/>
          <w:smallCaps w:val="false"/>
        </w:rPr>
        <w:t> </w:t>
      </w:r>
    </w:p>
    <w:p>
      <w:pPr>
        <w:pStyle w:val="TextBody"/>
        <w:bidi w:val="0"/>
        <w:jc w:val="right"/>
        <w:rPr>
          <w:b/>
        </w:rPr>
      </w:pPr>
      <w:bookmarkStart w:id="22" w:name="tm2620403d1_ex4-1.htm"/>
      <w:bookmarkStart w:id="23" w:name="kstm2620403d1_ex41"/>
      <w:bookmarkEnd w:id="22"/>
      <w:bookmarkEnd w:id="23"/>
      <w:r>
        <w:rPr>
          <w:b/>
        </w:rPr>
        <w:t>Exhibit 4.1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CERTIFICATE</w:t>
        <w:br/>
        <w:t>PURSUANT TO SECTION 3.2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$850,000,000 4.950%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Pursuant to resolutions of the Board of Directors of AutoZone, Inc., a Nevada corporation (the “Company”), adopted at a duly noticed and held meeting of the Board of Directors on October 8-9, 2024 (the “Resolutions”), the undersigned, Brian L. Campbell, Vice President &amp; Treasurer of the Company, and Scott Murphy, Vice President &amp; Controller of the Company, certify that pursuant to the Resolutions and Section 3.2 of the Indenture, dated as of August 8, 2003 (the “Indenture”), between the Company and Regions Bank, as successor in interest to The Bank of New York Mellon Trust Company, N.A., as successor in interest to Bank One Trust Company, N.A., as trustee (the “Trustee”), there is hereby established a series of Securities (as that term is defined in the Indenture), the terms and form of which shall be as follows (capitalized terms not defined herein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of the series of the Securities shall be “4.950% Senior Notes due 2031”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Notes shall be issued at a price of 99.306% of the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aggregate principal amount of the Notes that may be authenticated and delivered under the Indenture (except for Notes authenticated and delivered upon registration of, transfer of, or in exchange for, or in lieu of, other Notes pursuant to Sections 3.7, 3.8, 3.11, 4.7 or 10.6 of the Indenture) initially shall be $850,000,000. The Company may, without the consent of the Holders of the Notes, create and issue additional Notes ranking equally and ratably with the Notes and otherwise identical to the Notes in all respects, except for the payment of interest accruing prior to the issue date of such additional Notes and, in some cases, the first payment of interest following the issue date of such additional Notes and the initial interest accrual date thereof, so that such further Notes shall form a single series with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principal amount of the Notes shall be payable in full on July 15, 2031 subject to and in accordance with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Notes shall bear interest at the rate of 4.950% per annum from July 14, 2026, or from the most recent Interest Payment Date to which interest has been paid or duly provided for, payable semiannually on January 15 and July 15 of each year (each an “Interest Payment Date”), commencing on January 15, 2027 until the principal amount of the Notes has been paid or duly provided for. The January 1 and July 1 (whether or not a Business Day), as the case may be, next preceding an Interest Payment Date, shall be a “Regular Record Date” for the interest payable on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principal of and interest on the Notes shall be payable at the Corporate Trust Office of the Trustee in Atlanta, Georgia.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Notes will be redeemable at the Company’s option at any time in whole or from time to time in part. Prior to June 15, 2031 (one month prior to their maturity date) (the “Par Call Date”), the Company may redeem the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Notes to be redeemed matured on the Par Call Date) on a semi-annual basis (assuming a 360-day year consisting of twelve 30- day months) at the Treasury Rate plus 15 basis points less (b) interest accrued to, but not including, the date of redemption, and (2) 100% of the principal amount of the Notes to be redeemed, plus, in either case,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Notes, in whole or in part, at any time and from time to time, at a redemption price equal to 100% of the principal amount of the Notes being redeemed plus accrued and unpaid interest on the Notes to be redeemed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Treasury Rate</w:t>
      </w:r>
      <w:r>
        <w:rPr>
          <w:rFonts w:ascii="Times New Roman;Times;Serif" w:hAnsi="Times New Roman;Times;Serif"/>
          <w:b w:val="false"/>
          <w:i w:val="false"/>
          <w:caps w:val="false"/>
          <w:smallCaps w:val="false"/>
          <w:sz w:val="20"/>
        </w:rPr>
        <w:t>”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 The Trustee shall have no duty or obligation to calculate the redemption price or to confirm or verify the Company’s calculation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or electronically delivered (or otherwise transmitted in accordance with the depositary’s procedures) at least 10 days but not more than 60 days before the redemption date to each holder of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of any redemption may be given prior to the redemption thereof, and any such redemption or notice may, at the Company’s discretion, be subject to one or more conditions precedent, including, but not limited to, completion of an equity offering or other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will cease to accrue on the Notes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Notes will be issued only in registered form in minimum denominations of $2,000 and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Notes shall be issuable in whole or in part in the form of one or more Global Securities. Such Global Securities may be exchanged in whole or in part for individual Securities in definitive form only on the terms and conditions set forth in the Indenture. The initial Depository for such Global Securities shall be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Notes shall be denominated in Dollars and the payment of the principal of and interest on the Notes shall be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Notes shall be defeasible as provided in Article IX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Notes shall not be subject to any mandatory sinking fund.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a Change of Control Triggering Event occurs with respect to the Notes, unless the Company has exercised its right to redeem the Notes as described in Section 4.2 of the Indenture and clause (A)(g) of this Officers’ Certificate, Holders of Notes shall have the right to require the Company to make an offer to each Holder of Notes to repurchase all or any part (equal to $2,000 or an integral multiple of $1,000 in excess thereof) of that Holder’s Notes pursuant to the offer described below (the “Change of Control Offer”) on the terms set forth in the Notes. In the Change of Control Offer, the Company shall be required to offer payment in cash equal to 101% of the aggregate principal amount of Notes repurchased, plus accrued and unpaid interest, if any, on the Notes repurchased to the date of repurchase (the “Change of Control Payment”). Within 30 days following any Change of Control Triggering Event or, at the Company’s option, prior to the date of the consummation of any Change of Control, but after the public announcement of the transaction that constitutes or may constitute the Change of Control, the Company shall be required to mail a notice to the Holders of the Notes, with a copy to the Trustee, describing the transaction or transactions that constitute or may constitute the Change of Control Triggering Event and offering to repurchase the Notes on the date specified in the applicable notice, which date will be no earlier than 30 days and no later than 60 days from the date such notice is mailed (the “Change of Control Payment Date”), pursuant to the procedures required by the Notes and described in such notice. The notice shall, if mailed prior to the date of the consummation of the Change of Control, state that the Change of Control Offer is conditioned on the Change of Control Triggering Event occurring on or prior to the applicable Change of Control Payment Date. The Company must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Triggering Event provisions of the Notes, the Company shall comply with the applicable securities laws and regulations and shall not be deemed to have breached its obligations under the Change of Control Triggering Event provisions of the Notes by virtue of such conflicts.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Capital Stock” of a corporation means the capital stock of every class whether now or hereafter authorized, regardless of whether such capital stock shall be limited to a fixed sum or percentage with respect to the rights of the holders thereof to participate in dividends and in the distribution of assets upon the voluntary or involuntary liquidation, dissolution or winding up of such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Company’s outstanding Voting Stock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Company’s outstanding Voting Stock or the Voting Stock of such other Person is converted into or exchanged for cash, securities or other property, other than any such transaction where the shares of the Company’s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or (4) the adoption of a plan relating to the Company’s liquidation or dissolution. Notwithstanding the foregoing, a transaction shall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Triggering Event” means the occurrence of both a Change of Control and a Rating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Fitch” means Fitch Inc.,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Moody’s” means Moody’s Investors Service, Inc.,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has the meaning given thereto in Section 13(d)(3)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Rating Agencies” means (A) each of Fitch, Moody’s and S&amp;P; and (B) if any of Fitch, Moody’s or S&amp;P ceases to rate the Notes or fails to make a rating of the Notes publicly available for reasons outside of the Company’s control, a “nationally recognized statistical rating organization” within the meaning of Section 3(a)(62) under the Exchange Act selected by the Company (as certified by a resolution of the Board of Directors) as a replacement agency for Fitch, Moody’s or S&amp;P, or all of them,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Rating Event” means, with respect to the Notes, the rating on the Notes is lowered by at least two of the three Rating Agencies and the Notes are rated below an Investment Grade Rating by at least two of the three Rating Agencies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S&amp;P” means S&amp;P Global Ratings, a business unit of S&amp;P Global Inc.,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Voting Stock” means, with respect to any specified Person that is a corporation as of any date, the Capital Stock of such person that is at the time entitled to vote generally in the election of the Board of Directors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On each Change of Control Payment Date, the Company shall be required, to the extent lawful, to:</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for payment all Notes or portions of Notes properly tendered pursuant to the applicable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deposit with the paying agent an amount equal to the Change of Control Payment in respect of all Notes or portions of Notes properly tendered;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or cause to be delivered to the Trustee the Notes properly accepted together with an Officers' Certificate stating the aggregate principal amount of Notes or portions of Notes being repurchased.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will promptly mail to each Holder of Notes properly tendered the Change of Control Payment for such Note, and the Trustee will promptly authenticate and mail (or cause to be transferred by book-entry) to each Holder a new Note equal in principal amount to any unpurchased portion of any Notes surrendered; provided that each new Note will be in a principal amount of $2,000 or an integral multiple of $1,000 in excess thereof. The Company will not be required to make a Change of Control Offer upon the occurrence of a Change of Control Triggering Event if a third party makes such an offer in the manner, at the times and otherwise in compliance with the requirements for an offer made by the Company and the third party repurchases all Notes properly tendered and not withdrawn under its offer. In addition, the Company will not repurchase any Notes if there has occurred and is continuing on the Change of Control Payment Date an Event of Default under the Indenture, other than a Default in the payment of the Change of Control Payment upon a Change of Control Triggering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reference to a merger, consolidation, amalgamation, distribution, assignment, sale, transfer, disposition or similar term, shall be deemed to apply to a division of or by a limited liability company, limited partnership or trust, or an allocation of assets of a limited liability company, limited partnership or trust (or the unwinding of such a division or allocation), as if it were a merger, consolidation, amalgamation, distribution, assignment, sale, transfer, disposition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joint venture or any other like term shall also constitute such a Person 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shall not, and shall not permit any Subsidiary to, enter into any arrangement with any Person providing for the leasing by the Company or any Subsidiary of any Property that has been or is to be sold or transferred by the Company or such Subsidiary to such Person more than 270 days following the Company’s or its Subsidiary’s acquisition of such Property, with the intention of taking back a lease of such Property (a “Sale and Leaseback Transaction”) unless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12 months after the receipt of the proceeds of the sale or transfer, the Company or any Subsidiary apply an amount equal to the greater of the net proceeds of the sale or transfer or the fair value (as determined in good faith by the Company’s board of directors) of such Property at the time of such sale or transfer to the prepayment or retirement (other than any mandatory prepayment or retirement) of Senior Funded Debt;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or such Subsidiary would be entitled, at the effective date of the sale or transfer, to incur debt secured by a Lien on such Property in an amount at least equal to the Attributable Debt in respect of the Sale and Leaseback Transaction, without equally and ratably securing the Notes pursuant to Section 5.8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restriction in the paragraph above does not apply to any Sale and Leaseback Transaction (i) for a term of not more than three years including renewals or (ii) between the Company and a Subsidiary or between Subsidiaries, provided that the lessor is the Company or a wholly owned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Attributable Debt” in respect of a Sale and Leaseback Transaction means, at the time of determination, the present value discounted at the rate of interest implicit in the terms of the lease (as determined in good faith by the Company) of the obligations of the lessee under such lease for net rental payments during the remaining term of the lease (including any period for which such lease has been extended or may, at the Company’s option, be extended).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Funded Debt” means debt which matures more than one year from the date of creation, or which is extendable or renewable at the sole option of the obligor so that it may become payable more than one year from such date or which is classified, in accordance with United States generally accepted accounting principles, as long-term debt on the consolidated balance sheet for the most recently ended fiscal quarter (or if incurred subsequent to the date of such balance sheet, would have been so classified) of the person for which the determination is being made. Funded Debt does not include (1) obligations created pursuant to leases, (2) any debt or portion thereof maturing by its terms within one year from the time of any computation of the amount of outstanding Funded Debt unless such debt shall be extendable or renewable at the sole option of the obligor in such manner that it may become payable more than one year from such time, or (3) any debt for which money in the amount necessary for the payment or redemption of such debt is deposited in trust either at or before the maturity date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Senior Funded Debt” means all Funded Debt of the Company or its Subsidiaries (except Funded Debt, the payment of which is subordinated to the payment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definition of “Permitted Liens” as set forth in Section 1.1 of the Indenture is hereby deleted in its entirety and replaced with the following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Liens (other than Liens created or imposed under ERISA) for taxes, assessments or governmental charges or levies not yet subject to penalties for non-timely payment or Liens for taxes being contested in good faith by appropriate proceedings for which adequate reserves determined in accordance with GAAP have been established (and as to which the Property subject to any such Lien is not yet subject to foreclosure, sale or loss on account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statutory Liens of landlords and Liens of mechanics, materialmen warehousemen, carriers and suppliers and other Liens imposed by law or pursuant to customary reservations or retentions of title arising in the ordinary course of business, provided that any such Liens which are material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 (and as to which the Property subject to any such Lien is not yet subject to foreclosure, sale or loss on account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Liens (other than Liens created or imposed under ERISA) incurred or deposits made by the Company and its Subsidiaries in the ordinary course of business in connection with workers’ compensation, unemployment insurance and other types of social security, laws or regulations, or to secure the performance of tenders, statutory obligations, bids, leases, trade or government contracts, surety, indemnification, appeal, performance and return-of-money bonds, letters of credit, bankers acceptances and other similar obligations (exclusive of obligations for the payment of borrowed money), or as security for customs or import duties and related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Liens in connection with attachments or judgments (including judgment or appeal bonds), provided that the judgments secured shall, within 30 days after the entry thereof, have been discharged or execution thereof stayed pending appeal, or shall have been discharged within 30 days after the expiration of any such stay;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Liens securing indebtedness incurred (including capital leases) to finance the purchase price or cost of construction of Property (or additions, substantial repairs, alterations or substantial improvements thereto), provided that such Liens and the indebtedness secured thereby are incurred within twelve months of the later of acquisition or completion of construction (or addition, repair, alteration or improvement) and full operation thereof;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Liens securing industrial revenue bonds, pollution control bonds or similar types of tax-exempt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Liens arising from deposits with, or the giving of any form of security to, any governmental agency required as a condition to the transaction of business or exercise of any privilege, franchise or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easements, rights-of-way, restrictions (including zoning restrictions), minor defects or irregularities in title and other similar charges or encumbrances not, in any material respect, impairing the use of the encumbered Property for its intended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leases or subleases granted to others not interfering in any material respect with the business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on Property at the time such Property is acquired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Liens on Property of any Person at the time such Person becomes a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Liens on receivables from customers sold to third parties pursuant to credit arrangements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Liens existing on July 14, 2026 to secure Debt existing on July 14, 2026, or any extensions, amendments, renewals, refinancings, replacements or other modifications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Liens securing Debt of a Subsidiary of the Company to the Company or to another Subsidiary of the Company that is not a subsidiary of the debtor;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Liens on any Property created, assumed or otherwise brought into existence in contemplation of the sale or other disposition of the underlying Property, whether directly or indirectly, by way of share disposition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Liens in favor of the United States of America or any State thereof, or any department, agency or instrumentality or political subdivision thereof, to secure partial, progress, advance or other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Liens to secure Debt of joint ventures in which the Company or any of its Subsidiaries has an interest, to the extent such Liens are on Property of, or equity interests in, such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other Liens on Property of the Company and its Subsidiaries securing Debt having an aggregate principal amount (or deemed amount, in the case of Attributable Debt) not to exceed, as of any date of incurrence of such secured debt pursuant to this clause (xviii) and after giving effect to such incurrence and the application of the proceeds therefrom, the greater of (1) $1.75 billion and (2) 15% of the Company's Consolidated Net Tangible Assets;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Liens arising solely by virtue of any statutory or common law provisions relating to banker’s Liens, rights of set-off or similar rights and remedies as to deposit accounts or other funds maintained with a depositary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Liens arising from financing statement filings regarding 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Liens securing the financing of insurance premiums payable on insurance policies; provided, that such Liens shall only encumber unearned premiums with respect to such insurance, interests in any state guarantee fund relating to such insurance and subject and subordinate to the rights and interests of any loss payee, loss payments which shall reduce such unearned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Liens securing cash management obligations (that do not constitute indebtedness), or arising out of conditional sale, title retention, consignment or similar arrangements for sale of goods and contractual rights of set-off relating to purchase orders and other similar arrangements,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Liens on any property or assets of foreign subsidiaries securing debt of such foreign subsidiaries (but not debt of the Company or any domestic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Liens securing debt in an aggregate principal amount at any time outstanding not exceeding $500 million in respect of any arrangement under which we or any of our subsidiaries transfer, once or on a revolving basis, without recourse (except for indemnities and representations customary for securitization transactions and except for the retention of risk in an amount and form required by applicable laws and regulations or as is customary for a similar type of transaction) involving one or more “true sale” transactions, accounts receivable or interests therein and related assets customarily transferred in connection with securitization transactions (i) to a trust, partnership, corporation, limited liability company or other entity, which transfer is funded in whole or in part, directly or indirectly, by the incurrence or issuance by the transferee or successor transferee of indebtedness or other securities that are to receive payments from, or that represent interests in, the cash flow derived from such accounts receivable or interests therein, or (ii) directly to one or more investors or other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last sentence of Section 6.1 of the Indenture is hereby amended and restated in its entirety as follows: “Notwithstanding the foregoing, (i) any Subsidiary of the Company may consolidate with or merge into, or convey, transfer or lease all or substantially all of its properties and assets to the Company or another Subsidiary and (ii) the Company may merge with an affiliate incorporated solely for the purpose of and with the sole effect of reincorporating or reorganizing the Company in another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Section 7.1(e) of the Indenture is hereby amended with respect to the Notes by replacing the reference to “$35 million” set forth therein with a reference to “$200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Clauses (g), (h) and (i) of Section 10.1 of the Indenture are hereby deleted in their entirety and the following clauses (g), (h), (i), (j) and (k) are hereby inserted with respect to the Notes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make any change that does not adversely affect the rights of any holder in any material respect, as evidenced by an officer’s certificate delivered to the Trustee (upon which it may fully rely);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conform the text of the Indenture or the Securities to any provision of the related “Description of Notes” in the related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establish additional series of Securities as permitted by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comply with requirements of the SEC in order to maintain the qualification of the Indenture under the TIA;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evidence the acceptance of appointment by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Notes shall be entitled to the benefit of the covenants in Article V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Notes constitute senior unsecured debt obligations of the Company and rank equally in right of payment among themselves and with all other existing and future senior, unsecured and unsubordinated debt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There shall be no Events of Default other than those provided in Section 7.1 of the Indenture and the failure by the Company to comply with the provisions of clauses A.(m) or (n)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Notes shall have additional terms and conditions as set forth in, and shall be substantially in the form of, Annex A attached hereto, with such modifications thereto as may be approved by the authorized officer or officers executing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Trustee shall be the trustee for or on behalf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hereby approve the sale of $850,000,000 aggregate principal amount of Notes by the Company to the Underwriters listed in Schedule I to that certain Underwriting Agreement dated July 7, 2026 and in accordance with and pursuant to the terms thereof at a net purchase price to the Company of 99.306% of the principal amount thereof plus accrued interest, if any from July 14, 2026, and with an initial price to the public of 99.908% of the principal amount thereof plus accrued interest, if any from 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as supplemented by this Officers’ Certificate, is in all respects ratified and confirmed, and this Officers’ Certificate shall be deemed part of the Indenture in the manner and to the extent herein and therein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Officers’ Certificate may be executed in one or more counterparts, each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OFFICERS’ CERTIFICATE AND THE SECURITIES SHALL BE GOVERNED BY THE LAWS OF THE STATE OF NEW YORK WITHOUT REGARD TO THE CONFLICT OF LAWS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hereunto signed his name as of the date first set forth above.</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545"/>
        <w:gridCol w:w="363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Murphy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Murphy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&amp; Controller of the Company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Brian L. Campbell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L. Campbell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&amp;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Officers’ Certificate Pursuant to Section 3.2 of the Indenture (2031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Officers’ Certificate Pursuant to Section 3.2 of the Indenture (2031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IS A GLOBAL SECURITY WITHIN THE MEANING OF THE INDENTURE HEREINAFTER REFERRED TO AND IS REGISTERED IN THE NAME OF THE DEPOSITORY OR A NOMINEE OF THE DEPOSITORY. THIS NOTE IS EXCHANGEABLE FOR NOTES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 UNLESS THIS NOTE IS PRESENTED BY AN AUTHORIZED REPRESENTATIVE OF THE DEPOSITORY TO THE COMPANY OR ITS AGENT FOR REGISTRATION OF TRANSFER, EXCHANGE OR PAYMENT, AND ANY CERTIFICATE ISSUED IS REGISTERED IN THE NAME OF CEDE &amp; CO. OR IN SUCH OTHER NAME AS REQUESTED BY AN AUTHORIZED REPRESENTATIVE OF THE DEPOSITORY (AND ANY PAYMENT IS MADE TO CEDE &amp; CO. OR TO SUCH OTHER ENTITY AS IS REQUESTED BY AN AUTHORIZED REPRESENTATIVE OF THE DEPOSITORY),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2030"/>
        <w:gridCol w:w="410"/>
      </w:tblGrid>
      <w:tr>
        <w:trPr/>
        <w:tc>
          <w:tcPr>
            <w:tcW w:w="2030" w:type="dxa"/>
            <w:tcBorders/>
            <w:vAlign w:val="center"/>
          </w:tcPr>
          <w:p>
            <w:pPr>
              <w:pStyle w:val="TableContents"/>
              <w:bidi w:val="0"/>
              <w:spacing w:before="0" w:after="283"/>
              <w:jc w:val="left"/>
              <w:rPr/>
            </w:pPr>
            <w:r>
              <w:rPr/>
              <w:t>No. [</w:t>
            </w:r>
            <w:r>
              <w:rPr>
                <w:rFonts w:ascii="Symbol" w:hAnsi="Symbol"/>
              </w:rPr>
              <w:t>·</w:t>
            </w:r>
            <w:r>
              <w:rPr/>
              <w:t>]</w:t>
            </w:r>
          </w:p>
        </w:tc>
        <w:tc>
          <w:tcPr>
            <w:tcW w:w="4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CUSIP: 053332BN1</w:t>
            </w:r>
          </w:p>
        </w:tc>
        <w:tc>
          <w:tcPr>
            <w:tcW w:w="410" w:type="dxa"/>
            <w:tcBorders/>
            <w:vAlign w:val="center"/>
          </w:tcPr>
          <w:p>
            <w:pPr>
              <w:pStyle w:val="TableContents"/>
              <w:bidi w:val="0"/>
              <w:spacing w:before="0" w:after="283"/>
              <w:jc w:val="right"/>
              <w:rPr/>
            </w:pPr>
            <w:r>
              <w:rPr/>
              <w:t>$[</w:t>
            </w:r>
            <w:r>
              <w:rPr>
                <w:rFonts w:ascii="Symbol" w:hAnsi="Symbol"/>
              </w:rPr>
              <w: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4.950%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Issue Date: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January 15 and July 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Date: July 15, 2031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4.950%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 a Nevada corporation (hereinafter called the “Company”, which term includes any successor corporation under the Indenture hereinafter referred to), for value received, hereby promises to pay to CEDE &amp; CO., or registered assigns, the principal sum of [•]dollars ($[•]) (the “Principal Amount”) on the Maturity Date shown above, except as provided below, and to pay interest thereon at the rate per annum shown above. (Capitalized terms used herein have the meanings assigned to them in the Indenture referred to below unless otherwise indicated.) The Company will pay interest semiannually on the Interest Payment Dates, commencing on January 15, 2027. Interest on this Note will accrue from the most recent Interest Payment Date to which interest has been paid or duly provided for or, if no interest has been paid or duly provided for, from the Original Issue Date shown above. The interest so payable, and punctually paid or duly provided for, on any Interest Payment Date will, as provided in such Indenture, be paid to the person in whose name this Note (or one or more predecessor Securities) is registered at the close of business on the regular record date for such interest, which shall be the January 1 or the July 1 (whether or not a Business Day), as the case may be, next preceding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interest on this Note will be made at the Corporate Trust Office of the Trustee in Atlanta, Georgia,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this Note, it shall pay the defaulted interest, plus, to the extent permitted by law, any interest payable on the defaulted interest, to the persons who are Securityholders of this Note on a subsequent special record date. The Company shall fix that record date and payment date. At least ten (10) days before that record date, the Company shall mail to the Trustee and to each Securityholder a notice that states that record date, the payment date and the amount of interest and any interest thereon to be paid. The Company may pay defaulted interest and any interest thereon in any other lawful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securities of the Company (the “Securities”) of the Series hereinafter specified, all issued under and pursuant to an indenture, dated as of August 8, 2003, together with the Officers’ Certificate dated July 14, 2026 (the “Officers’ Certificate”), establishing the terms of the Notes (the “Indenture”), between the Company and Regions Bank (as successor in interest to The Bank of New York Mellon Trust Company, N.A. (as successor in interest to Bank One Trust Company, N.A.)), as Trustee (the “Trustee”), to which Indenture and all indentures supplemental thereto reference is hereby made for a description of the rights, limitations of rights, obligations, duties and immunities thereunder of the Trustee, the Company and Holders of the Securities. The aggregate principal amount of Securities that may be authenticated and delivered under the Indenture is unlimited. The Securities may be issued in one or more Series, which different Series may be issued in various aggregate principal amounts, may mature at different times, may bear interest, if any, at different rates, may be subject to different redemption provisions, if any, may be subject to different sinking, purchase or analogous funds, if any, may be subject to different covenants and Events of Default and may otherwise vary as in the Indenture provided. This Note is one of a Series designated as the “4.950% Senior Notes due 2031” of the Company (herein referred to as the “Notes”), initially issued in an aggregate principal amount of eight hundred fifty million dollars ($850,000,000). The Company may from time to time, without notice to or the consent of the holders of the Notes, create and issue additional Notes ranking equally and ratably with the Notes and otherwise identical in all respects, except for the issue price, the issue date, the payment of interest accruing prior to the issue date of such additional Notes and, in some cases, the first payment of interest following the issue date of such additional Notes and the initial interest accrual date thereof, so that such further Notes shall be consolidated and form a single Series with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constitute senior unsecured debt obligations of the Company and rank equally in right of payment among themselves and with all other existing and future senior, unsecured and unsubordinated debt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and subject to the provisions of the Officers’ Certificate, the Holders of the Notes may require that the Company repurchase the Notes if a Change of Control Triggering Event has occurred.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redeemable at the Company’s option at any time in whole or from time to time in part. Prior to June 15, 2031 (one month prior to their maturity date) (the “Par Call Date”), the Company may redeem the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Notes to be redeemed matured on the Par Call Date) on a semi-annual basis (assuming a 360-day year consisting of twelve 30- day months) at the Treasury Rate plus 15 basis points less (b) interest accrued to, but not including, the date of redemption, and (2) 100% of the principal amount of the Notes to be redeemed, plus, in either case,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Notes, in whole or in part, at any time and from time to time, at a redemption price equal to 100% of the principal amount of the Notes being redeemed plus accrued and unpaid interest on the Notes to be redeemed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or electronically delivered (or otherwise transmitted in accordance with the depositary’s procedures) at least 10 days but not more than 60 days before the redemption date to each holder of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of any redemption may be given prior to the redemption thereof, and any such redemption or notice may, at the Company’s discretion, be subject to one or more conditions precedent, including, but not limited to, completion of an equity offering or other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will cease to accrue on the Notes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not be subject to, or have the benefit of,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(as defined in the Indenture) with respect to the Notes shall have occurred and be continuing, the principal hereof may be declared, or shall become, due and payable, in the manner, with the effect and subject to certain conditions set forth in the Indenture. The Indenture provides that, subject to certain conditions therein set forth, any such declaration of acceleration and its consequences may be waived by the Holders of a majority in principal amount of the outstanding Notes.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Indenture contains provisions permitting the Company and the Trustee, with the consent of the Holders of at least a majority in principal amount of the outstanding Notes to be affected thereby, as provided in the Indenture, to enter into supplemental indentures adding any provisions to or changing in any manner or eliminating any of the provisions of the Indenture or of any supplemental indenture or modifying in any manner the rights of the Holders of the Notes; and the Indenture also contains provisions allowing the Holders of at least a majority in principal amount of the outstanding Notes to waive compliance with any provision of the Indenture or this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supplemental indenture or amendment or waiver may, without the consent of each Holder of Notes to be affected (a) reduce the amount of Notes whose Holders must consent to an amendment, supplement or waiver; (b) reduce the rate of, change the method of determination of or extend the time for payment of interest (including default interest) on any Note; (c) reduce the principal or change the Stated Maturity of any Note; (d) make any change in the provisions concerning waivers of Events of Default by Holders or the rights of Holders to recover the principal of or interest on any Note; (e) waive a Default or Event of Default in the payment of the principal of or interest on any Note (except a rescission of acceleration of the Notes by the Holders of at least a majority in principal amount of the outstanding Notes and a waiver of the payment default that resulted from such acceleration); (f) make the principal of or interest on any Note payable in any currency other than that stated in the Note; (g) make any change in Sections 7.8, 7.13, or 10.3 of the Indenture; or (h) waive a redemption payment with respect to any Note. The Indenture also provides that the Holders of not less than a majority in principal amount of the outstanding Notes may on behalf of the Holders of all the Notes waive any past Default under the Indenture with respect to the Notes and its consequences, except a Default (i) in the payment of the principal of or interest on any Note (provided, however, that the Holders of a majority in principal amount of the outstanding Notes may rescind an acceleration and its consequences, including any related payment default that resulted from such acceleration) or (ii) in respect of a covenant or provision hereof which cannot be modified or amended without the consent of the Holder of each outstanding Notes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 Any such waiver by the Holders of the Notes shall be conclusive and binding upon the Holder of this Note and upon all future Holders and owners of this Note and of any Note issued upon the transfer hereof or in exchange or substitution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interest on this Note at the time, place and rate, and in the coin or currency, herein and in the Indenture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Note is registrable by the Holder hereof on the register of the Company, upon due presentment of this Note for registration of transfer at the office of the Registrar, or at the office of any co-registrar duly endorsed by, or accompanied by a written instrument of transfer in form satisfactory to, the Company and the Registrar or any such co-registrar duly executed by, the Holder hereof or his attorney duly authorized in writing, and thereupon one or more new Notes of authorized denominations and for an equal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transfer tax or similar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issuable only as registered Notes without coupons in denominations equal to $2,000 or an integral multiple of $1,000 in excess thereof. As provided in the Indenture and subject to certain limitations therein set forth, Notes are exchangeable for new Notes of any authorized denominations of an equal principal amount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other provisions of the Indenture, payment of the principal of and interest, if any, on any Note represented by a Global Security shall be made to the Holder thereof. The Company and the Trustee understand that interest on any such Global Security will be disbursed or credited by the Depository to the persons having beneficial ownership thereof pursuant to a book-entry or other system maintained by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 foregoing paragraph, the Company, the Trustee and any Agent shall treat a person as the Holder of such principal amount of outstanding Notes represented by a Global Security as shall be specified in a written statement of the Depository with respect to such Global Security, for purposes of obtaining any consents, declarations, waivers or directions required to be given by the Holders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Note shall not have recourse for the payment of principal of or interest on this Note or for any claim based on this Note or the Indenture against any director, officer, employee or stockholder, as such, of the Company. By acceptance of this Note, the Holder waives and releases all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THIS NOTE SHALL BE GOVERNED BY THE LAWS OF THE STATE OF NEW YORK WITHOUT REGARD TO THE CONFLICT OF LAWS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but not defined in this Note which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has been executed by manual signature of the Trustee, this Note shall not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manually or in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545"/>
        <w:gridCol w:w="2675"/>
      </w:tblGrid>
      <w:tr>
        <w:trPr/>
        <w:tc>
          <w:tcPr>
            <w:tcW w:w="75" w:type="dxa"/>
            <w:tcBorders/>
            <w:vAlign w:val="center"/>
          </w:tcPr>
          <w:p>
            <w:pPr>
              <w:pStyle w:val="TableContents"/>
              <w:bidi w:val="0"/>
              <w:spacing w:before="0" w:after="283"/>
              <w:jc w:val="left"/>
              <w:rPr/>
            </w:pPr>
            <w:r>
              <w:rPr/>
              <w:t> </w:t>
            </w:r>
          </w:p>
        </w:tc>
        <w:tc>
          <w:tcPr>
            <w:tcW w:w="3220" w:type="dxa"/>
            <w:gridSpan w:val="2"/>
            <w:tcBorders/>
            <w:vAlign w:val="center"/>
          </w:tcPr>
          <w:p>
            <w:pPr>
              <w:pStyle w:val="TableContents"/>
              <w:bidi w:val="0"/>
              <w:spacing w:before="0" w:after="283"/>
              <w:jc w:val="left"/>
              <w:rPr/>
            </w:pPr>
            <w:r>
              <w:rPr/>
              <w:t>AUTOZONE,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75" w:type="dxa"/>
            <w:tcBorders/>
            <w:vAlign w:val="center"/>
          </w:tcPr>
          <w:p>
            <w:pPr>
              <w:pStyle w:val="TableContents"/>
              <w:bidi w:val="0"/>
              <w:spacing w:before="0" w:after="283"/>
              <w:jc w:val="left"/>
              <w:rPr/>
            </w:pPr>
            <w:r>
              <w:rPr/>
              <w:t>Brian L. Campbell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75" w:type="dxa"/>
            <w:tcBorders/>
            <w:vAlign w:val="center"/>
          </w:tcPr>
          <w:p>
            <w:pPr>
              <w:pStyle w:val="TableContents"/>
              <w:bidi w:val="0"/>
              <w:spacing w:before="0" w:after="283"/>
              <w:jc w:val="left"/>
              <w:rPr/>
            </w:pPr>
            <w:r>
              <w:rPr/>
              <w:t>Vice President &amp; Treasurer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75" w:type="dxa"/>
            <w:tcBorders/>
            <w:vAlign w:val="center"/>
          </w:tcPr>
          <w:p>
            <w:pPr>
              <w:pStyle w:val="TableContents"/>
              <w:bidi w:val="0"/>
              <w:spacing w:before="0" w:after="283"/>
              <w:jc w:val="left"/>
              <w:rPr/>
            </w:pPr>
            <w:r>
              <w:rPr/>
              <w:t>Scott Murphy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75" w:type="dxa"/>
            <w:tcBorders/>
            <w:vAlign w:val="center"/>
          </w:tcPr>
          <w:p>
            <w:pPr>
              <w:pStyle w:val="TableContents"/>
              <w:bidi w:val="0"/>
              <w:spacing w:before="0" w:after="283"/>
              <w:jc w:val="left"/>
              <w:rPr/>
            </w:pPr>
            <w:r>
              <w:rPr/>
              <w:t>Vice President &amp; Controller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Global Note (2031) (No. [</w:t>
      </w:r>
      <w:r>
        <w:rPr>
          <w:rFonts w:ascii="Symbol" w:hAnsi="Symbol"/>
          <w:b w:val="false"/>
          <w:i/>
          <w:caps w:val="false"/>
          <w:smallCaps w:val="false"/>
          <w:sz w:val="20"/>
        </w:rPr>
        <w:t>·</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w:t>
        <w:br/>
        <w:t>Series designated therein, referred to</w:t>
        <w:br/>
        <w:t>in the within 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REGIONS BANK, (AS SUCCESSOR IN INTEREST TO THE BANK OF NEW york MELLON TRUST company, N.A.)</w:t>
      </w:r>
      <w:r>
        <w:rPr>
          <w:rFonts w:ascii="Times New Roman;Times;Serif" w:hAnsi="Times New Roman;Times;Serif"/>
          <w:b w:val="false"/>
          <w:i w:val="false"/>
          <w:caps w:val="false"/>
          <w:smallCaps w:val="false"/>
          <w:sz w:val="20"/>
        </w:rPr>
        <w:t>, as Trustee</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80"/>
        <w:gridCol w:w="2060"/>
        <w:gridCol w:w="75"/>
      </w:tblGrid>
      <w:tr>
        <w:trPr/>
        <w:tc>
          <w:tcPr>
            <w:tcW w:w="380" w:type="dxa"/>
            <w:tcBorders/>
            <w:vAlign w:val="center"/>
          </w:tcPr>
          <w:p>
            <w:pPr>
              <w:pStyle w:val="TableContents"/>
              <w:bidi w:val="0"/>
              <w:spacing w:before="0" w:after="283"/>
              <w:jc w:val="left"/>
              <w:rPr/>
            </w:pPr>
            <w:r>
              <w:rPr/>
              <w:t>By:</w:t>
            </w:r>
          </w:p>
        </w:tc>
        <w:tc>
          <w:tcPr>
            <w:tcW w:w="20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Global Note (2031) (No. [</w:t>
      </w:r>
      <w:r>
        <w:rPr>
          <w:rFonts w:ascii="Symbol" w:hAnsi="Symbol"/>
          <w:b w:val="false"/>
          <w:i/>
          <w:caps w:val="false"/>
          <w:smallCaps w:val="false"/>
          <w:sz w:val="20"/>
        </w:rPr>
        <w:t>·</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right"/>
        <w:rPr>
          <w:b/>
        </w:rPr>
      </w:pPr>
      <w:bookmarkStart w:id="24" w:name="tm2620403d1_ex5-1.htm"/>
      <w:bookmarkStart w:id="25" w:name="kstm2620403d1_ex51"/>
      <w:bookmarkEnd w:id="24"/>
      <w:bookmarkEnd w:id="25"/>
      <w:r>
        <w:rPr>
          <w:b/>
        </w:rPr>
        <w:t>Exhibit 5.1</w:t>
      </w:r>
      <w:r>
        <w:br w:type="page"/>
      </w:r>
    </w:p>
    <w:p>
      <w:pPr>
        <w:pStyle w:val="TextBody"/>
        <w:bidi w:val="0"/>
        <w:spacing w:before="0" w:after="283"/>
        <w:jc w:val="left"/>
        <w:rPr/>
      </w:pPr>
      <w:r>
        <w:rPr/>
        <w:t> </w:t>
      </w:r>
    </w:p>
    <w:p>
      <w:pPr>
        <w:pStyle w:val="TextBody"/>
        <w:bidi w:val="0"/>
        <w:jc w:val="center"/>
        <w:rPr/>
      </w:pPr>
      <w:r>
        <w:rPr/>
        <w:drawing>
          <wp:inline distT="0" distB="0" distL="0" distR="0">
            <wp:extent cx="216217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2175" cy="152400"/>
                    </a:xfrm>
                    <a:prstGeom prst="rect">
                      <a:avLst/>
                    </a:prstGeom>
                  </pic:spPr>
                </pic:pic>
              </a:graphicData>
            </a:graphic>
          </wp:inline>
        </w:drawing>
      </w:r>
    </w:p>
    <w:p>
      <w:pPr>
        <w:pStyle w:val="TextBody"/>
        <w:bidi w:val="0"/>
        <w:spacing w:before="0" w:after="283"/>
        <w:jc w:val="left"/>
        <w:rPr/>
      </w:pPr>
      <w:r>
        <w:rPr/>
        <w:t> </w:t>
      </w:r>
    </w:p>
    <w:p>
      <w:pPr>
        <w:pStyle w:val="TextBody"/>
        <w:bidi w:val="0"/>
        <w:jc w:val="center"/>
        <w:rPr/>
      </w:pPr>
      <w:r>
        <w:rPr/>
        <w:t xml:space="preserve">21 Platform Way South, Suite 3500 </w:t>
        <w:br/>
        <w:t>Nashville, TN 37203</w:t>
        <w:br/>
        <w:t>(615) 742-6200</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South Front Street</w:t>
        <w:tab/>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Memphis, Tennessee 38103</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AutoZone, Inc. 4.950% Senior Notes due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AutoZone, Inc., a Nevada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issuance of $850,000,000 aggregate principal amount of the Company’s 4.950% Senior Notes due 2031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pursuant to the Company’s Registration Statement on Form S-3 (File Number: 333-297291)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including a base prospectus, dated July 7, 2026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the final prospectus supplement, dated July 7, 2026, filed with the Commission on July 9, 2026 pursuant to Rule 424(b) under the Securities Act (collectively with the Base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to be issued pursuant to the provisions of the Indenture, dated as of August 8, 2003, by and between the Company and Regions Bank, as successor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as supplemented by an officers’ certificate relating to the Notes, dated as of July 14, 2026 (collectively,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including the forms of global notes representing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such records, documents, certificates and other instruments as in our judgment are necessary or appropriate to form the basis for the opinions hereinafter set forth. In all such examinations, we have assumed the legal capacity of all natural persons, the genuineness of signatures on original documents and the conformity to such original documents of all copies submitted to us as certified, conformed or photographic copies, and as to certificates of public officials, we have assumed the same to have been properly given and to be accurate. As to facts material to the opinion expressed herein, we have relied upon statements and representations of officers and other representatives of the Company, public officials and others. We have not independently verified such factual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for purposes of this opinion that (a) each of the Company and the Trustee is duly organized, validly existing and in good standing under the laws of its jurisdiction of organization; (b) each of the Company and the Trustee has the requisite power and authority to execute and deliver and to perform its obligations under each of the Indenture and the Notes; (c) each of the Company and the Trustee has duly authorized, executed and delivered each of the Indenture and the Notes (except that no such assumption is made with respect to execution and delivery thereof by the Company under the laws of the State of New York); (d) each of the Indenture and the Notes constitutes a legally valid and binding agreement of the Trustee, enforceable against it in accordance with its terms; and (e) the Trustee is in compliance, generally and with respect to acting as Trustee under the Indenture, with all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our opinion set forth below relates to the enforceability of the choice of New York law and choice of New York forum provisions of the Indenture and the Notes, our opinion is rendered in reliance upon N.Y. Gen. Oblig. Law §§5-1401, 5-1402 and N.Y. C.P.L.R. 327(b) and is subject to the qualification that such enforceability may be limited by public policy considerations of any jurisdiction, other than the courts of the State of New York, in which enforcement of such provisions, or of a judgment upon an agreement containing such provisions, is sought. We have also assumed that the Company has complied with all aspects of applicable laws of jurisdictions other than the State of New York in connection with the transactions contemplated by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bassberry.com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14, 2026</w:t>
        <w:b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set forth herein is limited to the laws of the State of New York (but not including any laws, statutes, ordinances, administrative decisions, rules or regulations of any political subdivision below the state level), as currently in effect, that, in our experience, are applicable to the Notes and, to the extent that judicial or regulatory orders or decrees or consents, approvals, licenses, authorizations, validations, filings, recordings or registrations with governmental authorities are relevant, to those required under such laws (all of the foregoing being referred to as “</w:t>
      </w:r>
      <w:r>
        <w:rPr>
          <w:rFonts w:ascii="Times New Roman;Times;Serif" w:hAnsi="Times New Roman;Times;Serif"/>
          <w:b/>
          <w:i/>
          <w:caps w:val="false"/>
          <w:smallCaps w:val="false"/>
          <w:sz w:val="20"/>
        </w:rPr>
        <w:t>Covered Law</w:t>
      </w:r>
      <w:r>
        <w:rPr>
          <w:rFonts w:ascii="Times New Roman;Times;Serif" w:hAnsi="Times New Roman;Times;Serif"/>
          <w:b w:val="false"/>
          <w:i w:val="false"/>
          <w:caps w:val="false"/>
          <w:smallCaps w:val="false"/>
          <w:sz w:val="20"/>
        </w:rPr>
        <w:t>”). We do not express any opinion with respect to the law of any jurisdiction other than the Covered Law or as to the effect of any non-Covered Law on the opinion herein stated, or as to the securities or “blue sky” laws of any jurisdiction. The opinion expressed in this opinion letter is strictly limited to the matters stated in this opinion letter and no other opinions are to be implied. Various issues pertaining to laws of the State of Nevada, including the due authorization of the issuance of the Notes, are addressed in the opinion of Brownstein Hyatt Farber Schreck, LLP, Nevada counsel for the Company, which has been separately provided to you. We express no opinion with respect to those matters, and to the extent elements of those opinions are necessary to the conclusions expressed herein, we have, with your consent, assumed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limitations, qualifications, exceptions and assumptions set forth herein, and assuming that (i) the Indenture and the Notes have been duly authorized, executed and delivered by each of the Company and the Trustee, (ii) the final terms of the Notes have been duly established and approved by all necessary corporate action on the part of the Company and (iii) the Notes have been duly executed by the Company and authenticated by the Trustee in accordance with the Indenture and delivered to and paid for by the purchasers thereof, we are of the opinion that the Notes will constitute valid and legally binding obligations of the Company, enforceable against the Company in accordance with the terms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rendered in the above paragraph is subject to the following exceptions, limitations and qualifications: (i) the effect of bankruptcy, insolvency, reorganization, fraudulent transfer and fraudulent conveyance, moratorium or other similar laws now or hereafter in effect relating to or affecting the rights and remedies of creditors; (ii) the effect of general principles of equity (including, without limitation, concepts of materiality, reasonableness, good faith and fair dealing and the possible unavailability of specific performance, injunctive relief and other equitable remedies), regardless of whether enforcement is considered in a proceeding at law or in equity; (iii) the unenforceability under certain circumstances under law or court decisions of provisions providing for the indemnification of or contribution to a party with respect to a liability where such indemnification or contribution is contrary to public policy; and (iv) the unenforceability of any provision requiring the payment of attorneys’ fees, where such payment is contrary to law or public policy. We express no opinion (x) concerning the enforceability of any waiver of rights or defenses with respect to stay, extension or usury laws, (y) with respect to whether acceleration of the Notes may affect the collectability of any portion of the stated principal amount thereof which might be determined to constitute unearned interest thereon or (z) as to the enforceability of any provision to the extent it requires any party to indemnify any other person against loss in obtaining the currency due following a court judgment rendered in another currency. The opinion rendered in the above paragraph does not include an opinion with respect to compliance with laws relating to permissible rates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with respect to: (i) the enforceability of any provision purporting or attempting to (A) confer exclusive jurisdiction and/or venue upon certain courts or otherwise waive the defenses of forum non conveniens or improper venue, (B) confer subject matter jurisdiction on a court not having independent grounds therefor, (C) modify or waive the requirements for effective service of process for any action that may be brought, (D) waive the right of the Company or any other person to a trial by jury, or (E) modify or waive the rights to notice, legal defenses, rights granted by law, subrogation, opportunity for hearing, evidentiary requirements, stays or extensions, statutes of limitations and statutes of repose (including the tolling of the same), other procedural rights or other benefits that cannot be waived under applicable law; (ii) (A) whether an acceleration of the Debt Securities may affect the collectability of that portion of the stated principal amount thereof in excess of the public offering price to the extent that such portion was determined to constitute unearned interest thereon, and (B) the creation, validity, attachment, perfection, or priority of any lien or security interest; (iii) any legal requirements that are applicable to any party or its affiliates solely because such law, rule or regulation is part of a regulatory regime applicable to any such party or such affiliates as a result of the specific assets or business operations of such party or such affiliates; and (iv) the severability, if invalid, of provisions to the foregoing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14, 2026</w:t>
        <w:br/>
        <w:t>Page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above, we have assumed that the execution and delivery by the Company of the Indenture and the Notes and the performance by the Company of its obligations thereunder do not and will not violate, conflict with or constitute a default under any agreement or instrument to which the Company or its properties is subject. This opinion is for your benefit in connection with the Registration Statement and may be relied upon by you and by persons entitled to rely upon it pursuant to the applicable provisions of the Securities Act. We hereby consent to the filing of this opinion with the Commission as Exhibit 5.1 to the Registration Statement through a Current Report on Form 8-K. We also hereby consent to the reference to our firm under the caption “Legal Matters” in the Registration Statement and the Prospectus. In giving this consent, we do not thereby admit that we are included in the category of persons whose consent is required under Section 7 of the Securities Act or the rules and regulations of the Commission promulgated thereunder. This opinion is expressed as of the date hereof unless otherwise expressly stated, and we disclaim any undertaking to advise you of any subsequent changes in the facts stated or assumed herein or of any subsequent changes in applicable law.</w:t>
      </w:r>
    </w:p>
    <w:p>
      <w:pPr>
        <w:pStyle w:val="TextBody"/>
        <w:bidi w:val="0"/>
        <w:spacing w:before="0" w:after="0"/>
        <w:ind w:left="0" w:right="0" w:firstLine="720"/>
        <w:jc w:val="both"/>
        <w:rPr>
          <w:caps w:val="false"/>
          <w:smallCaps w:val="false"/>
        </w:rPr>
      </w:pPr>
      <w:r>
        <w:rPr>
          <w:caps w:val="false"/>
          <w:smallCaps w:val="false"/>
        </w:rPr>
        <w:t> </w:t>
      </w:r>
    </w:p>
    <w:tbl>
      <w:tblPr>
        <w:tblW w:w="2300" w:type="dxa"/>
        <w:jc w:val="left"/>
        <w:tblInd w:w="0" w:type="dxa"/>
        <w:tblLayout w:type="fixed"/>
        <w:tblCellMar>
          <w:top w:w="0" w:type="dxa"/>
          <w:left w:w="0" w:type="dxa"/>
          <w:bottom w:w="0" w:type="dxa"/>
          <w:right w:w="0" w:type="dxa"/>
        </w:tblCellMar>
      </w:tblPr>
      <w:tblGrid>
        <w:gridCol w:w="75"/>
        <w:gridCol w:w="2225"/>
      </w:tblGrid>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very truly,</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Bass, Berry &amp; Sims PLC</w:t>
            </w:r>
          </w:p>
        </w:tc>
      </w:tr>
    </w:tbl>
    <w:p>
      <w:pPr>
        <w:pStyle w:val="TextBody"/>
        <w:bidi w:val="0"/>
        <w:spacing w:before="0" w:after="0"/>
        <w:ind w:left="5040" w:right="0" w:firstLine="720"/>
        <w:jc w:val="both"/>
        <w:rPr>
          <w:caps w:val="false"/>
          <w:smallCaps w:val="false"/>
        </w:rPr>
      </w:pPr>
      <w:r>
        <w:rPr>
          <w:caps w:val="false"/>
          <w:smallCaps w:val="false"/>
        </w:rPr>
        <w:t> </w:t>
      </w:r>
    </w:p>
    <w:p>
      <w:pPr>
        <w:pStyle w:val="TextBody"/>
        <w:bidi w:val="0"/>
        <w:spacing w:before="0" w:after="0"/>
        <w:ind w:left="5040" w:right="0" w:firstLine="720"/>
        <w:jc w:val="both"/>
        <w:rPr>
          <w:caps w:val="false"/>
          <w:smallCaps w:val="false"/>
        </w:rPr>
      </w:pPr>
      <w:r>
        <w:rPr>
          <w:caps w:val="false"/>
          <w:smallCaps w:val="false"/>
        </w:rPr>
        <w:t> </w:t>
      </w:r>
    </w:p>
    <w:p>
      <w:pPr>
        <w:pStyle w:val="TextBody"/>
        <w:bidi w:val="0"/>
        <w:jc w:val="right"/>
        <w:rPr>
          <w:b/>
        </w:rPr>
      </w:pPr>
      <w:bookmarkStart w:id="26" w:name="tm2620403d1_ex5-2.htm"/>
      <w:bookmarkStart w:id="27" w:name="kstm2620403d1_ex52"/>
      <w:bookmarkEnd w:id="26"/>
      <w:bookmarkEnd w:id="27"/>
      <w:r>
        <w:rPr>
          <w:b/>
        </w:rPr>
        <w:t>Exhibit 5.2</w:t>
      </w:r>
      <w:r>
        <w:br w:type="page"/>
      </w:r>
    </w:p>
    <w:p>
      <w:pPr>
        <w:pStyle w:val="TextBody"/>
        <w:bidi w:val="0"/>
        <w:spacing w:before="0" w:after="283"/>
        <w:jc w:val="left"/>
        <w:rPr/>
      </w:pPr>
      <w:r>
        <w:rPr/>
        <w:t> </w:t>
      </w:r>
    </w:p>
    <w:tbl>
      <w:tblPr>
        <w:tblW w:w="7235" w:type="dxa"/>
        <w:jc w:val="left"/>
        <w:tblInd w:w="0" w:type="dxa"/>
        <w:tblLayout w:type="fixed"/>
        <w:tblCellMar>
          <w:top w:w="0" w:type="dxa"/>
          <w:left w:w="0" w:type="dxa"/>
          <w:bottom w:w="0" w:type="dxa"/>
          <w:right w:w="0" w:type="dxa"/>
        </w:tblCellMar>
      </w:tblPr>
      <w:tblGrid>
        <w:gridCol w:w="3075"/>
        <w:gridCol w:w="4160"/>
      </w:tblGrid>
      <w:tr>
        <w:trPr/>
        <w:tc>
          <w:tcPr>
            <w:tcW w:w="3075" w:type="dxa"/>
            <w:tcBorders/>
            <w:vAlign w:val="center"/>
          </w:tcPr>
          <w:p>
            <w:pPr>
              <w:pStyle w:val="TableContents"/>
              <w:bidi w:val="0"/>
              <w:spacing w:before="0" w:after="283"/>
              <w:jc w:val="left"/>
              <w:rPr/>
            </w:pPr>
            <w:r>
              <w:rPr/>
              <w:drawing>
                <wp:inline distT="0" distB="0" distL="0" distR="0">
                  <wp:extent cx="190500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285750"/>
                          </a:xfrm>
                          <a:prstGeom prst="rect">
                            <a:avLst/>
                          </a:prstGeom>
                        </pic:spPr>
                      </pic:pic>
                    </a:graphicData>
                  </a:graphic>
                </wp:inline>
              </w:drawing>
            </w:r>
            <w:r>
              <w:rPr/>
              <w:t> </w:t>
            </w:r>
          </w:p>
        </w:tc>
        <w:tc>
          <w:tcPr>
            <w:tcW w:w="4160" w:type="dxa"/>
            <w:tcBorders/>
            <w:vAlign w:val="center"/>
          </w:tcPr>
          <w:p>
            <w:pPr>
              <w:pStyle w:val="TableContents"/>
              <w:bidi w:val="0"/>
              <w:spacing w:before="0" w:after="283"/>
              <w:jc w:val="left"/>
              <w:rPr/>
            </w:pPr>
            <w:r>
              <w:rPr>
                <w:b/>
              </w:rPr>
              <w:t>Brownstein Hyatt Farber Schreck, LLP</w:t>
            </w:r>
            <w:r>
              <w:rPr/>
              <w:t xml:space="preserve"> </w:t>
              <w:br/>
              <w:t>702.382.2101 main</w:t>
              <w:br/>
              <w:t>100 North City Parkway, Suite 1600</w:t>
              <w:br/>
              <w:t>Las Vegas, Nevada 89106</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South Front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Memphis, Tennessee 38103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local Nevada counsel to AutoZone, Inc.,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by the Company of $850,000,000 aggregate principal amount of the Company’s 4.950% Senior Notes due 2031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pursuant to a registration statement on Form S-3 (File No. 333-297291)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including the base prospectus, dated July 7, 2026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as supplemented by the preliminary prospectus supplement, dated July 7, 2026, and the final prospectus supplement, dated July 7, 2026 (together with the Base Prospectus,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filed with the Commission pursuant to Rule 430B and Rule 424(b) under the Act, and issued pursuant to that certain Indenture, dated as of August 8, 2003, by and between the Company and Regions Bank (as successor in interest to The Bank of New York Mellon Trust Company, N.A., which in turn was the successor in interest to Bank One Trust Company, N.A.), as trustee, as supplemented by the officers’ certificate, dated as of July 14, 2026 (the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relating to the Notes (as so supplemented,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such counsel, we are familiar with the proceedings taken and proposed to be taken by the Company in connection with the authorization, issuance, and registration of the Notes pursuant to the Indenture and as described in the Registration Statement and the Prospectus. For purposes of this opinion letter, and except to the extent set forth in the opinions expressed below, we have assumed that all such proceedings have been or will be timely completed in the manner presently proposed in the Registration Statement and the Prospectus and by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issuing this opinion letter, we have (a) made such legal and factual examinations and inquiries, including an examination of originals or copies certified or otherwise identified to our satisfaction as being true copies, of (i) the Registration Statement, including the Prospectus, (ii) the Indenture, (iii) the global notes representing the Notes (collectively, the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(iv) the articles of incorporation and bylaws of the Company, (v) the resolutions of the board of directors of the Company with respect to the Indenture, the Notes and the transactions contemplated thereby, and (v) such other agreements, instruments corporate records (including, without limitation, resolutions adopted by the board of directors and by the stockholders of the Company) and documents, or forms thereof, as we have deemed necessary or appropriate, and (b) obtained from officers and other representatives and agents of the Company and from public officials, and have relied upon, such certificates, representations and assurances as we have deemed necessary or appropriate.</w:t>
      </w:r>
    </w:p>
    <w:p>
      <w:pPr>
        <w:pStyle w:val="TextBody"/>
        <w:bidi w:val="0"/>
        <w:spacing w:before="0" w:after="0"/>
        <w:ind w:left="0" w:right="0" w:firstLine="720"/>
        <w:jc w:val="left"/>
        <w:rPr>
          <w:caps w:val="false"/>
          <w:smallCaps w:val="false"/>
        </w:rPr>
      </w:pPr>
      <w:r>
        <w:rPr>
          <w:caps w:val="false"/>
          <w:smallCaps w:val="false"/>
        </w:rPr>
        <w:t> </w:t>
      </w:r>
    </w:p>
    <w:tbl>
      <w:tblPr>
        <w:tblW w:w="1640" w:type="dxa"/>
        <w:jc w:val="left"/>
        <w:tblInd w:w="0" w:type="dxa"/>
        <w:tblLayout w:type="fixed"/>
        <w:tblCellMar>
          <w:top w:w="0" w:type="dxa"/>
          <w:left w:w="0" w:type="dxa"/>
          <w:bottom w:w="0" w:type="dxa"/>
          <w:right w:w="0" w:type="dxa"/>
        </w:tblCellMar>
      </w:tblPr>
      <w:tblGrid>
        <w:gridCol w:w="75"/>
        <w:gridCol w:w="60"/>
        <w:gridCol w:w="150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www.bhfs.com</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br/>
        <w:t>July 14, 2026</w:t>
        <w:br/>
        <w:t>Page 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we have, with your permission, assumed without independent verification, that: (i) the statements of fact and all representations and warranties set forth in the documents we have examined were at all relevant times and are true and correct as to factual matters, in each case as of the date or dates of such documents and as of the date hereof; (ii) each natural person executing a document had at all relevant times and has sufficient legal capacity to do so; (iii) all documents submitted to us as originals are authentic, the signatures on all documents that we have examined are genuine and all documents submitted to us as certified, conformed, photostatic, facsimile or electronic copies conform to the original documents; (iv) the obligations of each party set forth in the documents we have examined are its valid and binding obligations, enforceable against such party in accordance with their respective terms; and (v) all corporate records made available to us by the Company, and all public records we have reviewed, are accurate and complete.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the State of Nevada. The opinions set forth herein are expressly limited to, and based exclusively on, the general corporate laws of the State of Nevada in effect on the date hereof, and we do not purport to be experts on, or to express any opinion with respect to the applicability or effect of, the laws of any other jurisdiction. We express no opinion concerning, and we assume no responsibility as to laws or judicial decisions related to, or any orders, consents, filings or other authorizations or approvals as may be required by, any federal laws, rules or regulations, including, without limitation, any federal securities laws, rules or regulations, or any state securities or “blue sky” laws, rules or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and having regard to legal considerations and other information that we deem relevant, we are of the opinion that: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is validly existing as a corporation and in good standing under the laws of the State of Nevada.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execution and delivery by the Company of the Global Notes and the Officers’ Certificate, and the performance by the Company of its obligations under the Indenture and the Global Notes, have been duly authorized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Notes have been duly authorized by the Company for issuance and sale pursuant to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Global Notes and the Officers’ Certificate have been executed and delivered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based upon the applicable laws of the State of Nevada and the facts in existence on the date of this opinion letter. In delivering this opinion letter to you, we disclaim any obligation to update or supplement the opinions set forth herein or to apprise you of any changes in any laws or facts after the date hereof. No opinion is offered or implied as to any matter, and no inference may be drawn, beyond the strict scope of the specific issues expressly addressed by the opinions set forth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br/>
        <w:t>July 14, 2026</w:t>
        <w:br/>
        <w:t>Page 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your filing this opinion letter as an exhibit to the Current Report on Form 8-K being filed on the date hereof and incorporated by reference into the Registration Statement and to the reference to our firm in the Prospectus under the heading “Legal Matters”. In giving such consent, we do not admit that we are in the category of persons whose consent is required under Section 7 of the Act or the rules and regulations of the Commission promulgated thereunder. Subject to all of the qualifications, limitations, exceptions, restrictions and assumptions set forth herein, Bass, Berry &amp; Sims PLC may rely on this opinion letter as if it were an addressee hereof on this date for the sole purpose of issuing its opinion letter to the Company relating to the registration of the Notes, as filed with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Brownstein Hyatt Farber Schreck, LLP</w:t>
      </w:r>
    </w:p>
    <w:p>
      <w:pPr>
        <w:pStyle w:val="TextBody"/>
        <w:bidi w:val="0"/>
        <w:spacing w:before="0" w:after="283"/>
        <w:jc w:val="left"/>
        <w:rPr/>
      </w:pPr>
      <w:r>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13341</Words>
  <Characters>67514</Characters>
  <CharactersWithSpaces>81605</CharactersWithSpaces>
  <Paragraphs>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