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274-1_s3asr.htm"/>
        <w:bookmarkStart w:id="1" w:name="kstm2619274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7,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8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11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0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SECURITIES AND EXCHANGE COMMISSION </w:t>
      </w:r>
    </w:p>
    <w:p>
      <w:pPr>
        <w:pStyle w:val="TextBody"/>
        <w:bidi w:val="0"/>
        <w:spacing w:lineRule="atLeast" w:line="210" w:before="3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14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14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AutoZone,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037" w:type="dxa"/>
        <w:jc w:val="left"/>
        <w:tblInd w:w="540" w:type="dxa"/>
        <w:tblLayout w:type="fixed"/>
        <w:tblCellMar>
          <w:top w:w="0" w:type="dxa"/>
          <w:left w:w="0" w:type="dxa"/>
          <w:bottom w:w="0" w:type="dxa"/>
          <w:right w:w="0" w:type="dxa"/>
        </w:tblCellMar>
      </w:tblPr>
      <w:tblGrid>
        <w:gridCol w:w="124"/>
        <w:gridCol w:w="4462"/>
        <w:gridCol w:w="109"/>
        <w:gridCol w:w="109"/>
        <w:gridCol w:w="3079"/>
        <w:gridCol w:w="154"/>
      </w:tblGrid>
      <w:tr>
        <w:trPr/>
        <w:tc>
          <w:tcPr>
            <w:tcW w:w="124" w:type="dxa"/>
            <w:tcBorders/>
            <w:vAlign w:val="center"/>
          </w:tcPr>
          <w:p>
            <w:pPr>
              <w:pStyle w:val="TableContents"/>
              <w:bidi w:val="0"/>
              <w:spacing w:before="0" w:after="283"/>
              <w:jc w:val="left"/>
              <w:rPr/>
            </w:pPr>
            <w:r>
              <w:rPr/>
              <w:t>​</w:t>
            </w:r>
          </w:p>
        </w:tc>
        <w:tc>
          <w:tcPr>
            <w:tcW w:w="4462" w:type="dxa"/>
            <w:tcBorders/>
            <w:vAlign w:val="center"/>
          </w:tcPr>
          <w:p>
            <w:pPr>
              <w:pStyle w:val="TableContents"/>
              <w:bidi w:val="0"/>
              <w:spacing w:before="0" w:after="0"/>
              <w:jc w:val="center"/>
              <w:rPr/>
            </w:pPr>
            <w:r>
              <w:rPr>
                <w:spacing w:val="-4"/>
              </w:rPr>
              <w:t>Nevada</w:t>
            </w:r>
            <w:r>
              <w:rPr/>
              <w:t xml:space="preserve"> </w:t>
            </w:r>
          </w:p>
          <w:p>
            <w:pPr>
              <w:pStyle w:val="TableContents"/>
              <w:bidi w:val="0"/>
              <w:spacing w:before="36" w:after="283"/>
              <w:jc w:val="center"/>
              <w:rPr>
                <w:b w:val="false"/>
                <w:spacing w:val="3"/>
                <w:sz w:val="16"/>
              </w:rPr>
            </w:pPr>
            <w:r>
              <w:rPr>
                <w:b w:val="false"/>
                <w:spacing w:val="3"/>
                <w:sz w:val="16"/>
              </w:rPr>
              <w:t xml:space="preserve">(State or other jurisdiction of 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79" w:type="dxa"/>
            <w:tcBorders/>
            <w:vAlign w:val="center"/>
          </w:tcPr>
          <w:p>
            <w:pPr>
              <w:pStyle w:val="TableContents"/>
              <w:bidi w:val="0"/>
              <w:spacing w:before="0" w:after="0"/>
              <w:jc w:val="center"/>
              <w:rPr/>
            </w:pPr>
            <w:r>
              <w:rPr>
                <w:spacing w:val="-4"/>
              </w:rPr>
              <w:t>62-1482048</w:t>
            </w:r>
            <w:r>
              <w:rPr/>
              <w:t xml:space="preserve"> </w:t>
            </w:r>
          </w:p>
          <w:p>
            <w:pPr>
              <w:pStyle w:val="TableContents"/>
              <w:bidi w:val="0"/>
              <w:spacing w:before="36" w:after="283"/>
              <w:jc w:val="center"/>
              <w:rPr>
                <w:b w:val="false"/>
                <w:sz w:val="16"/>
              </w:rPr>
            </w:pPr>
            <w:r>
              <w:rPr>
                <w:b w:val="false"/>
                <w:spacing w:val="3"/>
                <w:sz w:val="16"/>
              </w:rPr>
              <w:t>(I.R.S. Employer Identification Number)</w:t>
            </w:r>
            <w:r>
              <w:rPr>
                <w:b w:val="false"/>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123 South Front Street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Memphis, Tennessee 38103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(901) 495-6500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Jenna M. Bedsole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Senior Vice President, General Counsel &amp; Secretary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123 South Front Street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Memphis, Tennessee 38103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(901) 495-6500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44" w:after="283"/>
        <w:jc w:val="center"/>
        <w:rPr>
          <w:rFonts w:ascii="Times New Roman;Times;serif" w:hAnsi="Times New Roman;Times;serif"/>
          <w:b w:val="false"/>
          <w:i/>
          <w:caps w:val="false"/>
          <w:smallCaps w:val="false"/>
          <w:color w:val="000000"/>
          <w:spacing w:val="4"/>
          <w:sz w:val="18"/>
        </w:rPr>
      </w:pPr>
      <w:r>
        <w:rPr>
          <w:rFonts w:ascii="Times New Roman;Times;serif" w:hAnsi="Times New Roman;Times;serif"/>
          <w:b w:val="false"/>
          <w:i/>
          <w:caps w:val="false"/>
          <w:smallCaps w:val="false"/>
          <w:color w:val="000000"/>
          <w:spacing w:val="4"/>
          <w:sz w:val="18"/>
        </w:rPr>
        <w:t xml:space="preserve">Copies to: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Scott W. Bell</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Bass, Berry &amp; Sims PLC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 Platform Way South, Suite 3500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Nashville, Tennessee 37203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(615) 742-6200</w:t>
      </w:r>
      <w:r>
        <w:rPr>
          <w:rFonts w:ascii="Times New Roman;Times;serif" w:hAnsi="Times New Roman;Times;serif"/>
          <w:b/>
          <w:i w:val="false"/>
          <w:caps w:val="false"/>
          <w:smallCaps w:val="false"/>
          <w:color w:val="000000"/>
          <w:spacing w:val="4"/>
          <w:sz w:val="18"/>
        </w:rPr>
        <w:t xml:space="preserve"> </w:t>
      </w:r>
    </w:p>
    <w:p>
      <w:pPr>
        <w:pStyle w:val="TextBody"/>
        <w:bidi w:val="0"/>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4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From time to time after this registration statement becomes effective.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0"/>
              <w:ind w:left="180" w:right="0" w:hanging="0"/>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0"/>
              <w:ind w:left="180" w:right="0" w:hanging="0"/>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color w:val="000000"/>
          <w:sz w:val="18"/>
        </w:rPr>
        <w:t xml:space="preserve"> </w:t>
      </w:r>
    </w:p>
    <w:p>
      <w:pPr>
        <w:pStyle w:val="TextBody"/>
        <w:bidi w:val="0"/>
        <w:spacing w:before="11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5267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2857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debt securities from time to time in one or more offerings. This prospectus provides you with a general description of the debt securities that we may offer. We may offer and sell debt securities to or through one or more underwriters, dealers and agents, or directly to purchasers, on a continued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123 South Front Street, Memphis, Tennessee 38103, and our telephone number is (901) 495-6500.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the debt securities we offer, and the manner in which they are being offered, in supplements to this prospectus. Our debt securities cannot be sold unless this prospectus is accompanied by a prospectus supplement. You should read this prospectus and any prospectus supplement carefully before you invest.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debt securities involves certain risks. Before buying our debt securities, you should refer to the risks and uncertainties referenced under the heading “Risk Factors” on page </w:t>
      </w:r>
      <w:hyperlink w:anchor="bRIFA">
        <w:r>
          <w:rPr>
            <w:rStyle w:val="InternetLink"/>
          </w:rPr>
          <w:t>1</w:t>
        </w:r>
      </w:hyperlink>
      <w:r>
        <w:rPr>
          <w:rFonts w:ascii="Times New Roman;Times;serif" w:hAnsi="Times New Roman;Times;serif"/>
          <w:b/>
          <w:i w:val="false"/>
          <w:caps w:val="false"/>
          <w:smallCaps w:val="false"/>
          <w:color w:val="000000"/>
          <w:spacing w:val="-4"/>
          <w:sz w:val="20"/>
        </w:rPr>
        <w:t xml:space="preserve"> of this prospectus as well as those contained in the applicable prospectus supplement and any related free writing prospectus, and in the documents that are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debt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July 7,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 dealer, salesperson or other person to give any information or to make any representation other than those contained or incorporated by reference in this prospectus and the accompanying prospectus supplement or any associated “free writing prospectus.” We take no responsibility for, and can provide no assurance as to the reliability of, any other information others may give you, and caution you not to rely on such information. In this prospectus, any reference to an applicable prospectus supplement may refer to a “free writing prospectus,” unless the context otherwise requires. This prospectus and the accompanying prospectus supplement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rely only on the information contained or incorporated by reference in this prospectus, in any accompanying prospectus supplement or in any free writing prospectus filed by us with the SEC. You should not assume that the information contained in this prospectus and any accompanying prospectus supplement is accurate on any date subsequent to the date set forth on the front of the document.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we refer to “we,” “our” and “us” in this prospectus, we mean AutoZone, Inc., including, unless the context otherwise requires or as otherwise expressly stated, our subsidiaries. When we refer to “you” or “yours,” we mean the purchasers of the applicable debt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291" w:type="dxa"/>
        <w:jc w:val="left"/>
        <w:tblInd w:w="1393" w:type="dxa"/>
        <w:tblLayout w:type="fixed"/>
        <w:tblCellMar>
          <w:top w:w="0" w:type="dxa"/>
          <w:left w:w="0" w:type="dxa"/>
          <w:bottom w:w="28" w:type="dxa"/>
          <w:right w:w="0" w:type="dxa"/>
        </w:tblCellMar>
      </w:tblPr>
      <w:tblGrid>
        <w:gridCol w:w="7300"/>
        <w:gridCol w:w="109"/>
        <w:gridCol w:w="109"/>
        <w:gridCol w:w="109"/>
        <w:gridCol w:w="109"/>
        <w:gridCol w:w="292"/>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92" w:type="dxa"/>
            <w:tcBorders/>
            <w:tcMar>
              <w:bottom w:w="0" w:type="dxa"/>
            </w:tcMar>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ii</w:t>
              </w:r>
            </w:hyperlink>
            <w:hyperlink w:anchor="b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AUIN">
              <w:r>
                <w:rPr>
                  <w:rStyle w:val="InternetLink"/>
                  <w:spacing w:val="4"/>
                </w:rPr>
                <w:t xml:space="preserve">AUTOZONE,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92" w:type="dxa"/>
            <w:tcBorders/>
            <w:tcMar>
              <w:bottom w:w="0" w:type="dxa"/>
            </w:tcMar>
            <w:vAlign w:val="center"/>
          </w:tcPr>
          <w:p>
            <w:pPr>
              <w:pStyle w:val="TableContents"/>
              <w:bidi w:val="0"/>
              <w:spacing w:before="0" w:after="283"/>
              <w:jc w:val="right"/>
              <w:rPr/>
            </w:pPr>
            <w:hyperlink w:anchor="bAUIN">
              <w:r>
                <w:rPr>
                  <w:rStyle w:val="InternetLink"/>
                  <w:spacing w:val="4"/>
                </w:rPr>
                <w:t>1</w:t>
              </w:r>
            </w:hyperlink>
            <w:hyperlink w:anchor="bAU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RIFA">
              <w:r>
                <w:rPr>
                  <w:rStyle w:val="InternetLink"/>
                  <w:spacing w:val="4"/>
                </w:rPr>
                <w:t>1</w:t>
              </w:r>
            </w:hyperlink>
            <w:hyperlink w:anchor="b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92" w:type="dxa"/>
            <w:tcBorders/>
            <w:tcMar>
              <w:bottom w:w="0" w:type="dxa"/>
            </w:tcMar>
            <w:vAlign w:val="center"/>
          </w:tcPr>
          <w:p>
            <w:pPr>
              <w:pStyle w:val="TableContents"/>
              <w:bidi w:val="0"/>
              <w:spacing w:before="0" w:after="283"/>
              <w:jc w:val="right"/>
              <w:rPr/>
            </w:pPr>
            <w:hyperlink w:anchor="bFOST">
              <w:r>
                <w:rPr>
                  <w:rStyle w:val="InternetLink"/>
                  <w:spacing w:val="4"/>
                </w:rPr>
                <w:t>1</w:t>
              </w:r>
            </w:hyperlink>
            <w:hyperlink w:anchor="b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2</w:t>
              </w:r>
            </w:hyperlink>
            <w:hyperlink w:anchor="b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92" w:type="dxa"/>
            <w:tcBorders/>
            <w:tcMar>
              <w:bottom w:w="0" w:type="dxa"/>
            </w:tcMar>
            <w:vAlign w:val="center"/>
          </w:tcPr>
          <w:p>
            <w:pPr>
              <w:pStyle w:val="TableContents"/>
              <w:bidi w:val="0"/>
              <w:spacing w:before="0" w:after="283"/>
              <w:jc w:val="right"/>
              <w:rPr/>
            </w:pPr>
            <w:hyperlink w:anchor="bDODS">
              <w:r>
                <w:rPr>
                  <w:rStyle w:val="InternetLink"/>
                  <w:spacing w:val="4"/>
                </w:rPr>
                <w:t>2</w:t>
              </w:r>
            </w:hyperlink>
            <w:hyperlink w:anchor="b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POD">
              <w:r>
                <w:rPr>
                  <w:rStyle w:val="InternetLink"/>
                  <w:spacing w:val="4"/>
                </w:rPr>
                <w:t>5</w:t>
              </w:r>
            </w:hyperlink>
            <w:hyperlink w:anchor="b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92" w:type="dxa"/>
            <w:tcBorders/>
            <w:tcMar>
              <w:bottom w:w="0" w:type="dxa"/>
            </w:tcMar>
            <w:vAlign w:val="center"/>
          </w:tcPr>
          <w:p>
            <w:pPr>
              <w:pStyle w:val="TableContents"/>
              <w:bidi w:val="0"/>
              <w:spacing w:before="0" w:after="283"/>
              <w:jc w:val="right"/>
              <w:rPr/>
            </w:pPr>
            <w:hyperlink w:anchor="bLEMA">
              <w:r>
                <w:rPr>
                  <w:rStyle w:val="InternetLink"/>
                  <w:spacing w:val="4"/>
                </w:rPr>
                <w:t>6</w:t>
              </w:r>
            </w:hyperlink>
            <w:hyperlink w:anchor="b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92"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w:t>
      </w:r>
      <w:bookmarkStart w:id="4" w:name="bWYCF"/>
      <w:bookmarkEnd w:id="4"/>
      <w:r>
        <w:rPr>
          <w:rFonts w:ascii="calibri;arial;sans-serif" w:hAnsi="calibri;arial;sans-serif"/>
          <w:b w:val="false"/>
          <w:i w:val="false"/>
          <w:caps w:val="false"/>
          <w:smallCaps w:val="false"/>
          <w:color w:val="000000"/>
          <w:sz w:val="16"/>
        </w:rPr>
        <w:t>​</w:t>
      </w:r>
      <w:bookmarkStart w:id="5" w:name="bIOCD"/>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 as a “well-known seasoned issuer” as defined in Rule 405 under the Securities Act of 1933, as amended, or the Securities Act. Under this shelf registration, we may sell the debt securities described in this prospectus in one or more offerings. This prospectus only provides you with a general description of the debt securities that we may offer. Each time we sell debt securities, we will provide a supplement to this prospectus that contains specific information about the terms of the debt securities being sold. The prospectus supplement may also add, update or change information contained in this prospectus, and accordingly, to the extent inconsistent, information in this prospectus is superseded by the information in the prospectus supplement. Before purchasing any debt securities, you should carefully read both this prospectus and any prospectus supplement, together with the additional information described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to the public at the SEC’s website at www.sec.gov. We also make available free of charge through our website our Annual Reports on Form 10-K, Quarterly Reports on Form 10-Q, Current Reports on Form 8-K and amendments to those reports filed or furnished pursuant to Sections 13(a) or 15(d) of the Securities Exchange Act of 1934, as amended, or the Exchange Act, as well as our definitive proxy statements and Section 16 reports on Forms 3, 4 and 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ticker symbol “AZO.” Our web site address is https://www.autozone.com. However, the information located on, or accessible from, our website (or the websites for any of our other brands) is not, and shall not be deemed to be, a part of this prospectus or any accompanying prospectus supplement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The full registration statement may be obtained from the SEC or us at the website addresses specified above. Documents establishing the terms of the offered debt securities are filed as exhibits to the registration statement. Statements in this prospectus about these documents are summaries. You should refer to the actual documents for a more complete description of the relevant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reports and documents we file with the SEC,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We incorporate by reference into this prospectus the documents set forth below that we have previously filed with the SEC and any future filings made under Sections 13(a), 13(c), 14 or 15(d) of the Exchange Act, after the date of this prospectus and prior to the termination of the offering of debt securities offered by this prospectus: </w:t>
      </w:r>
    </w:p>
    <w:p>
      <w:pPr>
        <w:pStyle w:val="TextBody"/>
        <w:bidi w:val="0"/>
        <w:spacing w:lineRule="atLeast" w:line="240" w:before="132"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(filed with the SEC on October 27, 2025); </w:t>
      </w:r>
      <w:r>
        <mc:AlternateContent>
          <mc:Choice Requires="wps">
            <w:drawing>
              <wp:anchor behindDoc="0" distT="8382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Proxy Statement on Schedule 14A</w:t>
        </w:r>
      </w:hyperlink>
      <w:r>
        <w:rPr>
          <w:rFonts w:ascii="Times New Roman;Times;serif" w:hAnsi="Times New Roman;Times;serif"/>
          <w:b w:val="false"/>
          <w:i w:val="false"/>
          <w:caps w:val="false"/>
          <w:smallCaps w:val="false"/>
          <w:color w:val="000000"/>
          <w:spacing w:val="4"/>
          <w:sz w:val="20"/>
        </w:rPr>
        <w:t xml:space="preserve"> (filed with the SEC on October 28, 2025) for the Annual Meeting of Stockholders held on December 17, 2025; </w:t>
      </w:r>
      <w:r>
        <mc:AlternateContent>
          <mc:Choice Requires="wps">
            <w:drawing>
              <wp:anchor behindDoc="0" distT="889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November 22, 2025 (filed with the SEC on </w:t>
      </w:r>
      <w:hyperlink r:id="rId5">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February 14, 2026 (filed with the SEC on </w:t>
      </w:r>
      <w:hyperlink r:id="rId6">
        <w:r>
          <w:rPr>
            <w:rStyle w:val="InternetLink"/>
          </w:rPr>
          <w:t>March 20, 2026</w:t>
        </w:r>
      </w:hyperlink>
      <w:r>
        <w:rPr>
          <w:rFonts w:ascii="Times New Roman;Times;serif" w:hAnsi="Times New Roman;Times;serif"/>
          <w:b w:val="false"/>
          <w:i w:val="false"/>
          <w:caps w:val="false"/>
          <w:smallCaps w:val="false"/>
          <w:color w:val="000000"/>
          <w:spacing w:val="4"/>
          <w:sz w:val="20"/>
        </w:rPr>
        <w:t xml:space="preserve">) and May 9, 2026 (filed with the SEC on </w:t>
      </w:r>
      <w:hyperlink r:id="rId7">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October 8, 2025</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June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that we furnish under Items 2.02 and 7.01 of any Current Report on Form 8-K, including the related exhibits under Item 9.01, is not incorporated by reference in this prospectus, the registration statement of which this prospectus is a part,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upon written or oral request, a copy of any or all of the documents described above, except for exhibits to those documents, unless the exhibits are specifically incorporated by reference into those documents. Requests should be addressed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AutoZone,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123 South Front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Memphis, Tennessee 38103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(901) 495-6500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AUIN"/>
      <w:bookmarkEnd w:id="6"/>
      <w:r>
        <w:rPr>
          <w:rFonts w:ascii="calibri;arial;sans-serif" w:hAnsi="calibri;arial;sans-serif"/>
          <w:b w:val="false"/>
          <w:i w:val="false"/>
          <w:caps w:val="false"/>
          <w:smallCaps w:val="false"/>
          <w:color w:val="000000"/>
          <w:sz w:val="16"/>
        </w:rPr>
        <w:t>​</w:t>
      </w:r>
      <w:bookmarkStart w:id="7" w:name="bRIFA"/>
      <w:bookmarkEnd w:id="7"/>
      <w:r>
        <w:rPr>
          <w:rFonts w:ascii="calibri;arial;sans-serif" w:hAnsi="calibri;arial;sans-serif"/>
          <w:b w:val="false"/>
          <w:i w:val="false"/>
          <w:caps w:val="false"/>
          <w:smallCaps w:val="false"/>
          <w:color w:val="000000"/>
          <w:sz w:val="16"/>
        </w:rPr>
        <w:t>​</w:t>
      </w:r>
      <w:bookmarkStart w:id="8" w:name="bFOS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AUTOZONE,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leading retailer and distributor of automotive replacement parts and accessories in the Americas. We began operations in 1979 and at May 9, 2026, operated 6,766 stores in the United States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offices are located at 123 South Front Street, Memphis, Tennessee 38103, and our telephone number is (901) 495-6500. AutoZone, Inc. is a Nevada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debt securities involves a certain degree of risk. You should carefully consider the factors contained in Item 1A under Part 1 of our Annual Report on Form 10-K for the fiscal year ended August 30, 2025,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 after the date of this prospectus before deciding to invest in our securities. If any of these risks were to occur, our business, financial condition or results of operations could be adversely affected. When we offer and sell any securities pursuant to a prospectus supplement, we may include additional risk factors relevant to such securities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included or incorporated by reference in this prospectus are forward-looking statements (as the term is defined in Section 27A of the Securities Act and Section 21E of the Exchange Act) and constitute the Company’s cautionary statements under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Annual Report on Form 10-K for the year ended August 30, 2025. Forward-looking statements are not guarantees of future performance and actual results may differ materially from those contemplated by such forward-looking statements. Events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UOP"/>
      <w:bookmarkEnd w:id="9"/>
      <w:r>
        <w:rPr>
          <w:rFonts w:ascii="calibri;arial;sans-serif" w:hAnsi="calibri;arial;sans-serif"/>
          <w:b w:val="false"/>
          <w:i w:val="false"/>
          <w:caps w:val="false"/>
          <w:smallCaps w:val="false"/>
          <w:color w:val="000000"/>
          <w:sz w:val="16"/>
        </w:rPr>
        <w:t>​</w:t>
      </w:r>
      <w:bookmarkStart w:id="10" w:name="bDOD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the “Risk Factors”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a prospectus supplement, we intend to use the net proceeds from the sale of the debt securities offered hereby for general corporate purposes, including repaying, redeeming or repurchasing outstanding debt and for working capital, capital expenditures, new store or distribution center openings, stock repurchases and acquisitions. We may invest funds not required immediately for such purposes in short-term, interest-bearing and other investment-grade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text describes the general terms and provisions of debt securities that we may offer from time to time.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In this section entitled “Description of Debt Securities,” references to “we,” “us,” “our,” and “AutoZone” include only AutoZone, Inc. and not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 Subordination”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dated as of August 8, 2003, as supplemented, between us and Regions Bank, as successor trustee to The Bank of New York Mellon Trust Company, N.A. The indenture, as supplemented, is referred to in this prospectus as the “indenture.” The indenture describes the terms of the debt securities and does not limit the amount of debt securities or other unsecured, senior debt we may issue. We have summarized the general terms and provisions of the debt securities to be governed by the indenture. The summary is not complete and is subject to, and qualified in its entirety by reference to, all provisions of the indenture and the Trust Indenture Act of 1939, as amended, or the Trust Indenture Act. The indenture, as supplemented, has been incorporated by reference as an exhibit to the registration statement that we have filed with the SEC, of which this prospectus forms a part. We encourage you to read the indenture. Capitalized terms used in this description of our debt securities have the meanings specified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our board of directors (the “Board”) or a committee thereof and set forth or determined in the manner provided in an officers’ certificate or by a supplemental indenture. The particular terms of each series of debt securities will be described in a prospectus supplement relating to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debt securities under the indenture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 following terms of such debt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we will pay the principal on the debt securities; </w:t>
      </w:r>
      <w:r>
        <mc:AlternateContent>
          <mc:Choice Requires="wps">
            <w:drawing>
              <wp:anchor behindDoc="0" distT="0" distB="0" distL="254000" distR="0" simplePos="0" locked="0" layoutInCell="1" allowOverlap="1" relativeHeight="11">
                <wp:simplePos x="0" y="0"/>
                <wp:positionH relativeFrom="column">
                  <wp:align>left</wp:align>
                </wp:positionH>
                <wp:positionV relativeFrom="line">
                  <wp:posOffset>635</wp:posOffset>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23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premium and interest on, the debt securities will be payable; </w:t>
      </w:r>
      <w:r>
        <mc:AlternateContent>
          <mc:Choice Requires="wps">
            <w:drawing>
              <wp:anchor behindDoc="0" distT="7239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upon which we may redeem the debt securities; </w:t>
      </w:r>
      <w:r>
        <mc:AlternateContent>
          <mc:Choice Requires="wps">
            <w:drawing>
              <wp:anchor behindDoc="0" distT="7239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 or at the option of a holder of debt securities; </w:t>
      </w:r>
      <w:r>
        <mc:AlternateContent>
          <mc:Choice Requires="wps">
            <w:drawing>
              <wp:anchor behindDoc="0" distT="7239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239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7239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only” form; </w:t>
      </w:r>
      <w:r>
        <mc:AlternateContent>
          <mc:Choice Requires="wps">
            <w:drawing>
              <wp:anchor behindDoc="0" distT="7239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entire principal amount; </w:t>
      </w:r>
      <w:r>
        <mc:AlternateContent>
          <mc:Choice Requires="wps">
            <w:drawing>
              <wp:anchor behindDoc="0" distT="7239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t>
      </w:r>
      <w:r>
        <mc:AlternateContent>
          <mc:Choice Requires="wps">
            <w:drawing>
              <wp:anchor behindDoc="0" distT="7239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and premium and interest on, the debt securities will be made; </w:t>
      </w:r>
      <w:r>
        <mc:AlternateContent>
          <mc:Choice Requires="wps">
            <w:drawing>
              <wp:anchor behindDoc="0" distT="7239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7239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r>
        <mc:AlternateContent>
          <mc:Choice Requires="wps">
            <w:drawing>
              <wp:anchor behindDoc="0" distT="7239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collateral securing or guarantees of payments of principal of, or premium or interest on, the debt securities; </w:t>
      </w:r>
      <w:r>
        <mc:AlternateContent>
          <mc:Choice Requires="wps">
            <w:drawing>
              <wp:anchor behindDoc="0" distT="7239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7239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described in this prospectus or in the indenture with respect to the debt securities; </w:t>
      </w:r>
      <w:r>
        <mc:AlternateContent>
          <mc:Choice Requires="wps">
            <w:drawing>
              <wp:anchor behindDoc="0" distT="7239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including the conversion price, the conversion period, provisions as to whether conversion will be mandatory, at the option of the holder or at our option, the events requiring an adjustment of the conversion price and provisions affecting conversion if such series of debt securities are redeemed;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debt securities or subordinated debt securities and, if applicable, a description of the subordination terms thereof;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depositories, interest rate calculation agents, exchange rate calculation agents or other agents with respect to the debt securities; and </w:t>
      </w:r>
      <w:r>
        <mc:AlternateContent>
          <mc:Choice Requires="wps">
            <w:drawing>
              <wp:anchor behindDoc="0" distT="7239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delete, supplement or add to any provision of the indenture as it applies to that series. </w:t>
      </w:r>
      <w:r>
        <mc:AlternateContent>
          <mc:Choice Requires="wps">
            <w:drawing>
              <wp:anchor behindDoc="0" distT="7239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register the transfer of, or exchange debt securities for the period beginning at the opening of business fifteen days immediately preceding the mailing of a notice of redemption of debt securities selected for redemption and ending at the close of business on the day of such mailing; or </w:t>
      </w:r>
      <w:r>
        <mc:AlternateContent>
          <mc:Choice Requires="wps">
            <w:drawing>
              <wp:anchor behindDoc="0" distT="647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the transfer of or exchange of debt securities selected, called or being called for redemption as a whole or the portion being redeemed of any such security selected, called or being called for redemption in part. </w:t>
      </w:r>
      <w:r>
        <mc:AlternateContent>
          <mc:Choice Requires="wps">
            <w:drawing>
              <wp:anchor behindDoc="0" distT="482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debt securities will rank equally with all our other unsecured and unsubordinated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subordination provisions for a series of subordinated debt securities will be set forth in the applicable prospectus supplement and in the subordinated debt securities themselves or a resolution of the Board, a supplemental indenture or an officers’ certificate.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February 8, 2019, Regions Bank has served as the trustee under the indenture. Notice to the trustee should be directed to its Corporate Trust Services Office, located at 1180 West Peachtree Street,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Suite 1200, Atlanta, Georgia 30309, Attention: Corporate Trust Services. Prior to February 8, 2019, The Bank of New York Mellon Trust Company, N.A., served as the trustee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shall occur (and be continuing), the trustee will be required, in the exercise of its rights and powers, to use the degree of care and skill of a prudent person in the conduct of such person’s affairs. Subject to such provision, the trustee will be under no obligation to exercise any of its rights or powers under the indenture at the request of any of the holders of the debt securities issued thereunder, unless they have offered to the trustee indemnity satisfactory to it.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described in this prospectus from time to time in one or more transactions: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purchasers directly; </w:t>
      </w:r>
      <w:r>
        <mc:AlternateContent>
          <mc:Choice Requires="wps">
            <w:drawing>
              <wp:anchor behindDoc="0" distT="6985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underwriters for public offering and sale by them; </w:t>
      </w:r>
      <w:r>
        <mc:AlternateContent>
          <mc:Choice Requires="wps">
            <w:drawing>
              <wp:anchor behindDoc="0" distT="6985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6985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or </w:t>
      </w:r>
      <w:r>
        <mc:AlternateContent>
          <mc:Choice Requires="wps">
            <w:drawing>
              <wp:anchor behindDoc="0" distT="6985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foregoing methods of sale. </w:t>
      </w:r>
      <w:r>
        <mc:AlternateContent>
          <mc:Choice Requires="wps">
            <w:drawing>
              <wp:anchor behindDoc="0" distT="6985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distribute the debt securities from time to time in one or more transactions at: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6985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6985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or </w:t>
      </w:r>
      <w:r>
        <mc:AlternateContent>
          <mc:Choice Requires="wps">
            <w:drawing>
              <wp:anchor behindDoc="0" distT="6985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directly to institutional investors or others who may be deemed to be underwriters within the meaning of the Securities Act with respect to any resale of the debt securities. A prospectus supplement will describe the terms of any sale of debt securities we are offering hereunder. Direct sales may be arranged by a securities broker-dealer or other financial intermediary.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name any underwriter involved in a sale of debt securities. Underwriters may offer and sell debt securities at a fixed price or prices, which may be changed, or from time to time at market prices or at negotiated prices. Underwriters may be deemed to have received compensation from us from sales of debt securities in the form of underwriting discounts or commissions and may also receive commissions from purchasers of debt securities for whom they may act as agent. Underwriters may be involved in any at the market offering of debt securities by or on our behalf.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obligations of any underwriters to purchase debt securities will be subject to certain conditions precedent, and the underwriters will be obligated to purchase all the debt securities if any are purchased.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LEM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whether or not underwriters may over-allot or effect transactions that stabilize, maintain or otherwise affect the market price of the debt securities at levels above those that might otherwise prevail in the open market, including, for example, by entering stabilizing bids, effecting syndicate covering transactions or imposing penalty bids.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Through Agents and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a sale of debt securities, as well as any commissions payable by us to such agent, in a prospectus supplement. Unless we state otherwise in the applicable prospectus supplement, any such agent will be acting on a reasonable efforts basis for the period of its appointment.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utilize a dealer in the sale of the debt securities being offered pursuant to this prospectus, we will sell the debt securities to the dealer, as principal. The dealer may then resell the debt securities to the public at varying prices to be determined by the dealer at the time of resale.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specify in the applicable prospectus supplement, we will authorize underwriters, dealers and agents to solicit offers by certain institutions to purchase the debt securities pursuant to contracts providing for payment and delivery on future dates. Such contracts will be subject to only those conditions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will not be responsible for the validity or performance of the contracts. We will set forth in the prospectus supplement relating to the contracts the price to be paid for the debt securities, the commissions payable for solicitation of the contracts and the date in the future for delivery of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agents, dealers or managing underwriters, and of any underwriters, involved in the sale of the debt securities under this prospectus and the applicable agent’s commission, dealer’s purchase price or underwriter’s discount or commission as well as the net proceeds to us from the sale of debt securities will be set forth in a prospectus supplement. Any underwriting compensation paid by us to underwriters or agents in connection with the offering of debt securities and any discounts, concessions or commissions allowed by underwriters to participating dealers will be set forth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participating in a sale of the debt securities may be deemed to be underwriters as defined in the Securities Act, and any discounts and commissions received by them and any profit realized by them on resale of the debt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and their affiliates may be customers of, engage in transactions with or perform services for us or our affiliates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 prospectus supplement, we will not list the debt securities on any securities exchange. The debt securities will be a new issue of securities with no established trading market. Any underwriters that purchase the debt securities for public offering and sale may make a market in such debt securities, but such underwriters will not be obligated to do so and may discontinue any market making at any time without notice. We make no assurance as to the liquidity of or the trading markets for any debt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debt securities offered hereby will be passed upon for us by Bass, Berry &amp; Sims PLC, Nashville, Tennessee. Certain other matters of Nevada law with respect to the debt securities offered hereby will be passed upon for us by Brownstein Hyatt Farber Schreck, LLP, Las Vegas, Nevada. Legal counsel to any underwriters may pass upon legal matters for such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11">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and the effectiveness of our internal control over financial reporting as of August 30, 2025,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With respect to our unaudited condensed consolidated interim financial information for the twelve week periods ended November 22, 2025 and November 23, 2024, the twelve and twenty-four week periods ended February 14, 2026 and February 15, 2025, and the twelve and thirty-six week periods ended May 9, 2026 and May 10, 2025, incorporated by reference in this prospectus, Ernst &amp; Young LLP reported that they have applied limited procedures in accordance with professional standards for a review of such information. However, their separate reports dated December 19, 2025, March 20, 2026 and June 12, 2026, included in our Quarterly Reports on Form 10-Q for the quarters ended </w:t>
      </w:r>
      <w:hyperlink r:id="rId12">
        <w:r>
          <w:rPr>
            <w:rStyle w:val="InternetLink"/>
          </w:rPr>
          <w:t>November 22,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February 14,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May 9, 2026</w:t>
        </w:r>
      </w:hyperlink>
      <w:r>
        <w:rPr>
          <w:rFonts w:ascii="Times New Roman;Times;serif" w:hAnsi="Times New Roman;Times;serif"/>
          <w:b w:val="false"/>
          <w:i w:val="false"/>
          <w:caps w:val="false"/>
          <w:smallCaps w:val="false"/>
          <w:color w:val="000000"/>
          <w:spacing w:val="4"/>
          <w:sz w:val="20"/>
        </w:rPr>
        <w:t>,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a “report” or a “part” of the registration statement prepared or certified by Ernst &amp; Young LLP within the meaning of Sections 7 and 11 of the Securities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an estimate of the fees and expenses in connection with the issuance and distribution of the debt securities being registered hereunder. Except for the SEC registration fee, all amounts are estimates. </w:t>
      </w:r>
    </w:p>
    <w:tbl>
      <w:tblPr>
        <w:tblW w:w="6593" w:type="dxa"/>
        <w:jc w:val="left"/>
        <w:tblInd w:w="1393" w:type="dxa"/>
        <w:tblLayout w:type="fixed"/>
        <w:tblCellMar>
          <w:top w:w="0" w:type="dxa"/>
          <w:left w:w="0" w:type="dxa"/>
          <w:bottom w:w="28" w:type="dxa"/>
          <w:right w:w="0" w:type="dxa"/>
        </w:tblCellMar>
      </w:tblPr>
      <w:tblGrid>
        <w:gridCol w:w="5290"/>
        <w:gridCol w:w="109"/>
        <w:gridCol w:w="109"/>
        <w:gridCol w:w="931"/>
        <w:gridCol w:w="154"/>
      </w:tblGrid>
      <w:tr>
        <w:trPr/>
        <w:tc>
          <w:tcPr>
            <w:tcW w:w="5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1"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Amount </w:t>
            </w:r>
            <w:r>
              <w:rPr/>
              <w:br/>
            </w:r>
            <w:r>
              <w:rPr>
                <w:spacing w:val="-3"/>
              </w:rPr>
              <w:t xml:space="preserve">to be </w:t>
            </w:r>
            <w:r>
              <w:rPr/>
              <w:br/>
            </w:r>
            <w:r>
              <w:rPr>
                <w:spacing w:val="-3"/>
              </w:rPr>
              <w:t xml:space="preserve">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9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1" w:type="dxa"/>
            <w:tcBorders/>
            <w:shd w:fill="CCEEFF" w:val="clear"/>
            <w:tcMar>
              <w:bottom w:w="0" w:type="dxa"/>
            </w:tcMar>
            <w:vAlign w:val="center"/>
          </w:tcPr>
          <w:p>
            <w:pPr>
              <w:pStyle w:val="TableContents"/>
              <w:bidi w:val="0"/>
              <w:spacing w:before="0" w:after="0"/>
              <w:jc w:val="center"/>
              <w:rPr/>
            </w:pPr>
            <w:r>
              <w:rPr>
                <w:spacing w:val="4"/>
              </w:rPr>
              <w:t>$ —</w:t>
            </w:r>
            <w:r>
              <w:rPr>
                <w:spacing w:val="3"/>
                <w:sz w:val="13"/>
              </w:rPr>
              <w:t>(1)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90" w:type="dxa"/>
            <w:tcBorders/>
            <w:tcMar>
              <w:bottom w:w="0" w:type="dxa"/>
            </w:tcMar>
            <w:vAlign w:val="center"/>
          </w:tcPr>
          <w:p>
            <w:pPr>
              <w:pStyle w:val="TableContents"/>
              <w:bidi w:val="0"/>
              <w:spacing w:before="0" w:after="0"/>
              <w:jc w:val="left"/>
              <w:rPr>
                <w:spacing w:val="4"/>
              </w:rPr>
            </w:pPr>
            <w:r>
              <w:rPr>
                <w:spacing w:val="4"/>
              </w:rPr>
              <w:t xml:space="preserve">Rating Agency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529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1" w:type="dxa"/>
            <w:tcBorders/>
            <w:shd w:fill="CCEEFF" w:val="clear"/>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9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5290" w:type="dxa"/>
            <w:tcBorders/>
            <w:shd w:fill="CCEEFF" w:val="clear"/>
            <w:tcMar>
              <w:bottom w:w="0" w:type="dxa"/>
            </w:tcM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1" w:type="dxa"/>
            <w:tcBorders/>
            <w:shd w:fill="CCEEFF" w:val="clear"/>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90" w:type="dxa"/>
            <w:tcBorders/>
            <w:tcMar>
              <w:bottom w:w="0" w:type="dxa"/>
            </w:tcMar>
            <w:vAlign w:val="center"/>
          </w:tcPr>
          <w:p>
            <w:pPr>
              <w:pStyle w:val="TableContents"/>
              <w:bidi w:val="0"/>
              <w:spacing w:before="0" w:after="0"/>
              <w:jc w:val="left"/>
              <w:rPr>
                <w:spacing w:val="4"/>
              </w:rPr>
            </w:pPr>
            <w:r>
              <w:rPr>
                <w:spacing w:val="4"/>
              </w:rPr>
              <w:t xml:space="preserve">Blue Sky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5290" w:type="dxa"/>
            <w:tcBorders/>
            <w:shd w:fill="CCEEFF" w:val="clear"/>
            <w:tcMar>
              <w:bottom w:w="0" w:type="dxa"/>
            </w:tcMar>
            <w:vAlign w:val="center"/>
          </w:tcPr>
          <w:p>
            <w:pPr>
              <w:pStyle w:val="TableContents"/>
              <w:bidi w:val="0"/>
              <w:spacing w:before="0" w:after="0"/>
              <w:jc w:val="left"/>
              <w:rPr>
                <w:spacing w:val="4"/>
              </w:rPr>
            </w:pPr>
            <w:r>
              <w:rPr>
                <w:spacing w:val="4"/>
              </w:rPr>
              <w:t xml:space="preserve">Trustee/ Issuing &amp; Paying Agent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1" w:type="dxa"/>
            <w:tcBorders/>
            <w:shd w:fill="CCEEFF" w:val="clear"/>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90" w:type="dxa"/>
            <w:tcBorders/>
            <w:tcMar>
              <w:bottom w:w="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bottom w:val="double" w:sz="8" w:space="0" w:color="000000"/>
            </w:tcBorders>
            <w:tcMar>
              <w:bottom w:w="50" w:type="dxa"/>
            </w:tcMar>
            <w:vAlign w:val="center"/>
          </w:tcPr>
          <w:p>
            <w:pPr>
              <w:pStyle w:val="TableContents"/>
              <w:bidi w:val="0"/>
              <w:spacing w:lineRule="atLeast" w:line="142" w:before="0" w:after="0"/>
              <w:jc w:val="center"/>
              <w:rPr/>
            </w:pPr>
            <w:r>
              <w:rPr>
                <w:spacing w:val="4"/>
              </w:rPr>
              <w:t>$ —</w:t>
            </w:r>
            <w:r>
              <w:rPr>
                <w:spacing w:val="3"/>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529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1" w:type="dxa"/>
            <w:tcBorders/>
            <w:shd w:fill="CCEEFF" w:val="clear"/>
            <w:tcMar>
              <w:bottom w:w="0" w:type="dxa"/>
            </w:tcMar>
            <w:vAlign w:val="center"/>
          </w:tcPr>
          <w:p>
            <w:pPr>
              <w:pStyle w:val="TableContents"/>
              <w:bidi w:val="0"/>
              <w:spacing w:before="0" w:after="0"/>
              <w:jc w:val="center"/>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in accordance with Rules 456(b) and 457(r). </w:t>
      </w:r>
      <w:r>
        <mc:AlternateContent>
          <mc:Choice Requires="wps">
            <w:drawing>
              <wp:anchor behindDoc="0" distT="10033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amounts of fees and expenses to be incurred in connection with any offering pursuant to this registration statement will be determined at the time of the applicable offering and will be reflected in the applicable prospectus supplement. </w:t>
      </w:r>
      <w:r>
        <mc:AlternateContent>
          <mc:Choice Requires="wps">
            <w:drawing>
              <wp:anchor behindDoc="0" distT="4953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AutoZone, Inc.’s Restated Articles of Incorporation provide that a director or officer of AutoZone, Inc. shall not be personally liable to AutoZone, Inc. or its stockholders for damages for any breach of fiduciary duty as a director or officer, except for liability for (i) acts or omissions which involve intentional misconduct, fraud or a knowing violation of law, or (ii) the payment of distributions in violation of Nevada Revised Statutes (“NRS”) 78.300. NRS 78.138(7), however, currently provides that, except as otherwise provided in NRS 35.230, 90.660, 91.250, 452.200, 452.270, 668.045 and 694A.030, or unless the articles of incorporation or amendment thereto, in each case filed on or after October 1, 2003, provide for greater individual liability, a director or officer will not be individually liable to the corporation or its stockholders or creditors for any damages as a result of any act or failure to act in his or her capacity as a director or officer, unless (i) the presumption established by NRS 78.138(3) has been rebutted, and (ii) it is proven that (a) the director’s or officer’s acts or failure to act constituted a breach of his or her fiduciary duties as a director or officer, and (b) such breach involved intentional misconduct, fraud or a knowing violation of the law. To the extent AutoZone, Inc.’s Restated Articles of Incorporation would be deemed to be inconsistent with NRS 78.138, the provisions of the NRS should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NRS 78.7502, 78.751 and 78.752, and Article III, Section 13, of AutoZone, Inc.’s Ninth Amended and Restated By-Laws (the “Bylaws”), under certain circumstances, provide for the indemnification of the Company’s officers, directors, employees and agents against liabilities they may incur in such capacities. A summary of the circumstances under which indemnification by AutoZone, Inc. is appropriate is contained herein, but such description is qualified in its entirety by reference to Article III, Section 13, of the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Bylaws provide that any officer, director, employee or agent shall be indemnified against expenses including attorneys’ fees, fines, settlements, judgments and amounts paid in settlement e actually and reasonably incurred in connection with any threatened, pending or completed, action, suit or proceeding,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civil, criminal, administrative or investigative, other than an action brought by or on the behalf of AutoZone, Inc., to which he or she was a party or is threatened to be made a party, if he or she either is not liable pursuant to NRS 78.138 or if he or she acted in good faith and in a manner he or she reasonably believed to be in or not opposed to AutoZone, Inc.’s best interest, and, with respect to any criminal action or proceeding, had no reasonable cause to believe his or her conduct was unlawful. If the action or suit is brought by or on behalf of AutoZone, Inc., the person to be indemnified must have acted in good faith and in a manner he or she reasonably believed to be in or not opposed to AutoZone, Inc.’s best interest. No indemnification will be made in respect of any claim, issue or matter as to which such person shall have been adjudged by a court of competent jurisdiction, after exhaustion of all appeals therefrom, to be liable to AutoZone, Inc., or for amounts paid in settlement to AutoZone, Inc.,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which such court shall deem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indemnification described in the previous paragraphs, unless ordered by a court or advanced as provided in the succeeding paragraph, must be made by AutoZone, Inc. only as authorized in the specific case upon a determination that indemnification of the director, officer, employee or agent is proper in the circumstances. The determination must be made (i) by the holders of a majority of the voting power of AutoZone, Inc.’s stock, (ii) by the Board by a majority vote of a quorum consisting of directors who were not parties to the act, suit or proceeding, (iii) if a majority vote of a quorum of directors who were not parties to the act, suit or proceeding so orders, by independent legal counsel in a written opinion or (iv) if a quorum consisting of directors who were not parties to the act, suit or proceeding cannot be obtained, by independent legal counsel in a written opinion. To the extent that a director, officer, employee or agent of AutoZone, Inc. has been successful on the merits or otherwise in defense of any action, suit or proceeding referred to in the previous paragraph, or in defense of any claim, issue or matter therein, he or she must be indemnified by AutoZone, Inc. against expenses, including attorneys’ fees, actually and reasonably incurred by him or her in connection with the defense.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incurred by an officer or director in defending a civil or criminal action, suit or proceeding may be paid by AutoZone, Inc. in advance of the final disposition of the action, suit or proceeding upon receipt of an undertaking by or on behalf of the director or officer to repay the amount if it is ultimately determined that he or she is not entitled to be indemnified by AutoZone, Inc. as authorized by the Bylaws. Such expenses incurred by other employees and agents may be so paid upon such terms and conditions, if any, as the Board deems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and advancement of expenses authorized in or ordered by a court as described in the foregoing paragraphs, (i) does not exclude any other rights to which a person seeking indemnification or advancement of expenses may be entitled under any bylaw, agreement, vote of stockholders or disinterested directors or otherwise, for either an action in his or her official capacity or an action in another capacity while holding such office except that indemnification, unless ordered by a court as described in the third preceding paragraph or for advancement of expenses made as described in the preceding paragraph, may not be made to or on behalf of any director or officer if a final adjudication establishes that his or her acts or omissions involved intentional misconduct, fraud or a knowing violation of the law and were material to the cause of action; and (ii) continues for a person who has ceased to be a director, officer, employee or agent and inures to the benefit of the heirs, executors and administrators of such a person. If a claim for indemnification or payment of expenses under Article III, Section 13, of the Bylaws is not paid in full within ninety (90) days after a written claim therefor has been received by AutoZone, Inc., the claimant may file suit to recover the unpaid amount of such claim and, if successful in whole or in part, shall be entitled to be paid the expenses of prosecuting such claim. In any such action, AutoZone, Inc. shall have the burden of proving that the claimant was not entitled to the requested indemnification or payment of expenses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authorize, by a vote of a majority of a quorum of the Board, AutoZone, Inc. to purchase and maintain insurance on behalf of any person who is or was a director, officer, employee or agent of AutoZone, Inc. or is or was serving at AutoZone, Inc.’s request as a director, officer, employee or agent of another corporation, partnership, joint venture, trust or other enterprise against any liability asserted such person and incurred by him or her in any such capacity, or arising out of his or her status as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AutoZone, Inc. would have the power to indemnify such person against such liability under provisions of Article III, Section 13, of the Bylaws. AutoZone, Inc. has purchased insurance for its directors and officers for certain losses arising from claims or charges made against them in their capacities as directors and officers. The Board may authorize AutoZone, Inc. to enter into a contract with any person who is or was a director, officer, employee or agent of AutoZone, Inc. or is or was serving at AutoZone, Inc.’s request as a director, officer, employee or agent of another partnership, joint venture, trust or other enterprise providing for indemnification rights equivalent to or, if the Board so determines, greater than those provided for in Article III, Section 13, of the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8"/>
        <w:gridCol w:w="109"/>
        <w:gridCol w:w="109"/>
        <w:gridCol w:w="742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8"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spacing w:val="4"/>
              </w:rPr>
            </w:pPr>
            <w:r>
              <w:rPr>
                <w:spacing w:val="4"/>
              </w:rPr>
              <w:t xml:space="preserve">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5">
              <w:r>
                <w:rPr>
                  <w:rStyle w:val="InternetLink"/>
                  <w:spacing w:val="4"/>
                </w:rPr>
                <w:t>Restated Articles of Incorporation of AutoZone, Inc. (incorporated by reference to Exhibit 3.1 to the Form 10-Q for the quarter ended February 13, 1999).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6">
              <w:r>
                <w:rPr>
                  <w:rStyle w:val="InternetLink"/>
                  <w:spacing w:val="4"/>
                </w:rPr>
                <w:t>Ninth Amended and Restated By-Laws of AutoZone, Inc. Incorporated by reference to Exhibit 3.1 to the Current Report on Form 8-K dated April 1,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pPr>
            <w:hyperlink r:id="rId17">
              <w:r>
                <w:rPr>
                  <w:rStyle w:val="InternetLink"/>
                </w:rPr>
                <w:t>Indenture dated as of August 8, 2003, between AutoZone, Inc. and Bank One Trust Company, N.A. Incorporated by reference to Exhibit 4.1 to the Registration Statement on Form S-3 (No. 333-107828) filed August 11, 2003.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spacing w:val="4"/>
              </w:rPr>
            </w:pPr>
            <w:r>
              <w:rPr>
                <w:spacing w:val="4"/>
              </w:rPr>
              <w:t xml:space="preserve">Form of Officers’ Certificate(s) pursuant to Section 3.2 of the Indenture setting forth the terms of the applicable notes.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spacing w:val="4"/>
              </w:rPr>
            </w:pPr>
            <w:r>
              <w:rPr>
                <w:spacing w:val="4"/>
              </w:rPr>
              <w:t xml:space="preserve">Form of Note.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5-1.htm">
              <w:r>
                <w:rPr>
                  <w:rStyle w:val="InternetLink"/>
                  <w:spacing w:val="4"/>
                </w:rPr>
                <w:t>Opinion of Bass, Berry &amp; Sims PLC.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5-2.htm">
              <w:r>
                <w:rPr>
                  <w:rStyle w:val="InternetLink"/>
                  <w:spacing w:val="4"/>
                </w:rPr>
                <w:t>Opinion of Brownstein Hyatt Farber Schreck,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15.1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15-1.htm">
              <w:r>
                <w:rPr>
                  <w:rStyle w:val="InternetLink"/>
                  <w:spacing w:val="4"/>
                </w:rPr>
                <w:t>Letter of Ernst &amp; Young LLP re Unaudited Interim Financial Information.</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23-1.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5-1.htm">
              <w:r>
                <w:rPr>
                  <w:rStyle w:val="InternetLink"/>
                  <w:spacing w:val="4"/>
                </w:rPr>
                <w:t>Consent of Bass, Berry &amp; Sims PLC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5-2.htm">
              <w:r>
                <w:rPr>
                  <w:rStyle w:val="InternetLink"/>
                  <w:spacing w:val="4"/>
                </w:rPr>
                <w:t>Consent of Brownstein Hyatt Farber Schreck, LLP (included in Exhibit 5.2)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POATT">
              <w:r>
                <w:rPr>
                  <w:rStyle w:val="InternetLink"/>
                  <w:spacing w:val="4"/>
                </w:rPr>
                <w:t>Power of Attorney (included on the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3_ex25-1.htm">
              <w:r>
                <w:rPr>
                  <w:rStyle w:val="InternetLink"/>
                  <w:spacing w:val="4"/>
                </w:rPr>
                <w:t>Statement of Eligibility on Form T-1 under the Trust Indenture Act of 1939, as amended, of Regions Bank, as Trustee under the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19274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incorporated by reference from a Current Report on Form 8-K in connection with offerings of debt securities. </w:t>
      </w:r>
      <w:r>
        <mc:AlternateContent>
          <mc:Choice Requires="wps">
            <w:drawing>
              <wp:anchor behindDoc="0" distT="102870" distB="0" distL="0" distR="0" simplePos="0" locked="0" layoutInCell="1" allowOverlap="1" relativeHeight="44">
                <wp:simplePos x="0" y="0"/>
                <wp:positionH relativeFrom="column">
                  <wp:align>left</wp:align>
                </wp:positionH>
                <wp:positionV relativeFrom="line">
                  <wp:posOffset>635</wp:posOffset>
                </wp:positionV>
                <wp:extent cx="254000" cy="14605"/>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2870" distB="0" distL="254000" distR="0" simplePos="0" locked="0" layoutInCell="1" allowOverlap="1" relativeHeight="45">
                <wp:simplePos x="0" y="0"/>
                <wp:positionH relativeFrom="column">
                  <wp:align>left</wp:align>
                </wp:positionH>
                <wp:positionV relativeFrom="line">
                  <wp:posOffset>635</wp:posOffset>
                </wp:positionV>
                <wp:extent cx="254000" cy="14605"/>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2870" distB="0" distL="508000" distR="0" simplePos="0" locked="0" layoutInCell="1" allowOverlap="1" relativeHeight="46">
                <wp:simplePos x="0" y="0"/>
                <wp:positionH relativeFrom="column">
                  <wp:align>left</wp:align>
                </wp:positionH>
                <wp:positionV relativeFrom="line">
                  <wp:posOffset>635</wp:posOffset>
                </wp:positionV>
                <wp:extent cx="254000" cy="14605"/>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w:t>
      </w:r>
      <w:r>
        <mc:AlternateContent>
          <mc:Choice Requires="wps">
            <w:drawing>
              <wp:anchor behindDoc="0" distT="101600" distB="0" distL="508000" distR="0" simplePos="0" locked="0" layoutInCell="1" allowOverlap="1" relativeHeight="47">
                <wp:simplePos x="0" y="0"/>
                <wp:positionH relativeFrom="column">
                  <wp:align>left</wp:align>
                </wp:positionH>
                <wp:positionV relativeFrom="line">
                  <wp:posOffset>635</wp:posOffset>
                </wp:positionV>
                <wp:extent cx="254000" cy="14605"/>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9060" distB="0" distL="508000" distR="0" simplePos="0" locked="0" layoutInCell="1" allowOverlap="1" relativeHeight="48">
                <wp:simplePos x="0" y="0"/>
                <wp:positionH relativeFrom="column">
                  <wp:align>left</wp:align>
                </wp:positionH>
                <wp:positionV relativeFrom="line">
                  <wp:posOffset>635</wp:posOffset>
                </wp:positionV>
                <wp:extent cx="254000" cy="14605"/>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(a)(1)(i), (a)(1)(ii) and (a)(1)(iii) of this section do not apply if the registration statement is on Form S-1, Form S-3, Form SF-3 or Form F-3,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 or, as to a registration statement on Form S-3, Form SF-3 or Form F-3, is contained in a form of prospectus filed pursuant to Rule 424(b) of this chapter that is part of the registration statement.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9060" distB="0" distL="254000" distR="0" simplePos="0" locked="0" layoutInCell="1" allowOverlap="1" relativeHeight="49">
                <wp:simplePos x="0" y="0"/>
                <wp:positionH relativeFrom="column">
                  <wp:align>left</wp:align>
                </wp:positionH>
                <wp:positionV relativeFrom="line">
                  <wp:posOffset>635</wp:posOffset>
                </wp:positionV>
                <wp:extent cx="254000" cy="14605"/>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99060" distB="0" distL="254000" distR="0" simplePos="0" locked="0" layoutInCell="1" allowOverlap="1" relativeHeight="50">
                <wp:simplePos x="0" y="0"/>
                <wp:positionH relativeFrom="column">
                  <wp:align>left</wp:align>
                </wp:positionH>
                <wp:positionV relativeFrom="line">
                  <wp:posOffset>635</wp:posOffset>
                </wp:positionV>
                <wp:extent cx="254000" cy="14605"/>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99060" distB="0" distL="254000" distR="0" simplePos="0" locked="0" layoutInCell="1" allowOverlap="1" relativeHeight="51">
                <wp:simplePos x="0" y="0"/>
                <wp:positionH relativeFrom="column">
                  <wp:align>left</wp:align>
                </wp:positionH>
                <wp:positionV relativeFrom="line">
                  <wp:posOffset>635</wp:posOffset>
                </wp:positionV>
                <wp:extent cx="254000" cy="14605"/>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99060" distB="0" distL="508000" distR="0" simplePos="0" locked="0" layoutInCell="1" allowOverlap="1" relativeHeight="52">
                <wp:simplePos x="0" y="0"/>
                <wp:positionH relativeFrom="column">
                  <wp:align>left</wp:align>
                </wp:positionH>
                <wp:positionV relativeFrom="line">
                  <wp:posOffset>635</wp:posOffset>
                </wp:positionV>
                <wp:extent cx="254000" cy="14605"/>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0330" distB="0" distL="508000" distR="0" simplePos="0" locked="0" layoutInCell="1" allowOverlap="1" relativeHeight="53">
                <wp:simplePos x="0" y="0"/>
                <wp:positionH relativeFrom="column">
                  <wp:align>left</wp:align>
                </wp:positionH>
                <wp:positionV relativeFrom="line">
                  <wp:posOffset>635</wp:posOffset>
                </wp:positionV>
                <wp:extent cx="254000" cy="14605"/>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0330" distB="0" distL="254000" distR="0" simplePos="0" locked="0" layoutInCell="1" allowOverlap="1" relativeHeight="54">
                <wp:simplePos x="0" y="0"/>
                <wp:positionH relativeFrom="column">
                  <wp:align>left</wp:align>
                </wp:positionH>
                <wp:positionV relativeFrom="line">
                  <wp:posOffset>635</wp:posOffset>
                </wp:positionV>
                <wp:extent cx="254000" cy="14605"/>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0330" distB="0" distL="508000" distR="0" simplePos="0" locked="0" layoutInCell="1" allowOverlap="1" relativeHeight="55">
                <wp:simplePos x="0" y="0"/>
                <wp:positionH relativeFrom="column">
                  <wp:align>left</wp:align>
                </wp:positionH>
                <wp:positionV relativeFrom="line">
                  <wp:posOffset>635</wp:posOffset>
                </wp:positionV>
                <wp:extent cx="254000" cy="14605"/>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0" distB="0" distL="508000" distR="0" simplePos="0" locked="0" layoutInCell="1" allowOverlap="1" relativeHeight="56">
                <wp:simplePos x="0" y="0"/>
                <wp:positionH relativeFrom="column">
                  <wp:align>left</wp:align>
                </wp:positionH>
                <wp:positionV relativeFrom="line">
                  <wp:posOffset>635</wp:posOffset>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57">
                <wp:simplePos x="0" y="0"/>
                <wp:positionH relativeFrom="column">
                  <wp:align>left</wp:align>
                </wp:positionH>
                <wp:positionV relativeFrom="line">
                  <wp:align>top</wp:align>
                </wp:positionV>
                <wp:extent cx="254000" cy="52578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58">
                <wp:simplePos x="0" y="0"/>
                <wp:positionH relativeFrom="column">
                  <wp:align>left</wp:align>
                </wp:positionH>
                <wp:positionV relativeFrom="line">
                  <wp:align>top</wp:align>
                </wp:positionV>
                <wp:extent cx="254000" cy="52578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Securities Act of 1933.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OAT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Memphis, State of Tennessee, as of the seventh day of July,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AUTOZONE,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Philip B. Daniele, III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59">
                <wp:simplePos x="0" y="0"/>
                <wp:positionH relativeFrom="column">
                  <wp:align>left</wp:align>
                </wp:positionH>
                <wp:positionV relativeFrom="line">
                  <wp:align>top</wp:align>
                </wp:positionV>
                <wp:extent cx="254000" cy="52578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6"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Philip B. Daniele, III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undersigned does hereby constitute and appoints Philip B. Daniele, III, Jamere Jackson, and Jenna M. Bedsole, and each of them, his or her true and lawful attorney-in-fact and agents, with full power of substitution and resubstitution, to sign in his or her name, place and stead, in any and all capacities, to execute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he or she might or could do in person, hereby ratifying and confirming all that said attorneys-in-fact and agents, or any of them, or their or his substitute or substitutes, may lawfully do or cause to be done by virtue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below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226"/>
        <w:gridCol w:w="109"/>
        <w:gridCol w:w="109"/>
        <w:gridCol w:w="4731"/>
        <w:gridCol w:w="109"/>
        <w:gridCol w:w="109"/>
        <w:gridCol w:w="114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2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3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Philip B. Daniele, III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Philip B. Daniele,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Jamere Jackson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Jamere Jackson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J. Scott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 Scott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pPr>
            <w:r>
              <w:rPr>
                <w:spacing w:val="4"/>
              </w:rPr>
              <w:t>Vice President and Controller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William C. Rhodes, III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William C. Rhodes,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Michael A. George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A. George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Linda A. Goodspeed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Linda A. Goodspeed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Earl G. Graves,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Earl G. Graves,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left"/>
              <w:rPr/>
            </w:pPr>
            <w:r>
              <w:rPr>
                <w:spacing w:val="4"/>
              </w:rPr>
              <w:t>/s/ Brian Hannasch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Brian Hannasch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89" w:type="dxa"/>
        <w:jc w:val="left"/>
        <w:tblInd w:w="1393" w:type="dxa"/>
        <w:tblLayout w:type="fixed"/>
        <w:tblCellMar>
          <w:top w:w="0" w:type="dxa"/>
          <w:left w:w="0" w:type="dxa"/>
          <w:bottom w:w="28" w:type="dxa"/>
          <w:right w:w="0" w:type="dxa"/>
        </w:tblCellMar>
      </w:tblPr>
      <w:tblGrid>
        <w:gridCol w:w="124"/>
        <w:gridCol w:w="3337"/>
        <w:gridCol w:w="109"/>
        <w:gridCol w:w="109"/>
        <w:gridCol w:w="974"/>
        <w:gridCol w:w="109"/>
        <w:gridCol w:w="109"/>
        <w:gridCol w:w="136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3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37" w:type="dxa"/>
            <w:tcBorders/>
            <w:tcMar>
              <w:bottom w:w="0" w:type="dxa"/>
            </w:tcMar>
            <w:vAlign w:val="center"/>
          </w:tcPr>
          <w:p>
            <w:pPr>
              <w:pStyle w:val="TableContents"/>
              <w:bidi w:val="0"/>
              <w:spacing w:before="0" w:after="0"/>
              <w:jc w:val="left"/>
              <w:rPr/>
            </w:pPr>
            <w:r>
              <w:rPr>
                <w:spacing w:val="4"/>
              </w:rPr>
              <w:t>/s/ Gale V. King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Gale V. King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37" w:type="dxa"/>
            <w:tcBorders/>
            <w:tcMar>
              <w:bottom w:w="0" w:type="dxa"/>
            </w:tcMar>
            <w:vAlign w:val="center"/>
          </w:tcPr>
          <w:p>
            <w:pPr>
              <w:pStyle w:val="TableContents"/>
              <w:bidi w:val="0"/>
              <w:spacing w:before="0" w:after="0"/>
              <w:jc w:val="left"/>
              <w:rPr/>
            </w:pPr>
            <w:r>
              <w:rPr>
                <w:spacing w:val="4"/>
              </w:rPr>
              <w:t>/s/ Claire R. McDonough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Claire R. McDonough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283"/>
              <w:jc w:val="left"/>
              <w:rPr/>
            </w:pPr>
            <w:r>
              <w:rPr>
                <w:spacing w:val="4"/>
              </w:rPr>
              <w:t>July 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37" w:type="dxa"/>
            <w:tcBorders/>
            <w:tcMar>
              <w:bottom w:w="0" w:type="dxa"/>
            </w:tcMar>
            <w:vAlign w:val="center"/>
          </w:tcPr>
          <w:p>
            <w:pPr>
              <w:pStyle w:val="TableContents"/>
              <w:bidi w:val="0"/>
              <w:spacing w:before="0" w:after="0"/>
              <w:jc w:val="left"/>
              <w:rPr/>
            </w:pPr>
            <w:r>
              <w:rPr>
                <w:spacing w:val="4"/>
              </w:rPr>
              <w:t>/s/ George R. Mrkonic,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George R. Mrkonic,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37" w:type="dxa"/>
            <w:tcBorders/>
            <w:tcMar>
              <w:bottom w:w="0" w:type="dxa"/>
            </w:tcMar>
            <w:vAlign w:val="center"/>
          </w:tcPr>
          <w:p>
            <w:pPr>
              <w:pStyle w:val="TableContents"/>
              <w:bidi w:val="0"/>
              <w:spacing w:before="0" w:after="0"/>
              <w:jc w:val="left"/>
              <w:rPr/>
            </w:pPr>
            <w:r>
              <w:rPr>
                <w:spacing w:val="4"/>
              </w:rPr>
              <w:t>/s/ Jill A. Soltau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Jill A. Soltau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283"/>
              <w:jc w:val="left"/>
              <w:rPr>
                <w:spacing w:val="4"/>
              </w:rPr>
            </w:pPr>
            <w:r>
              <w:rPr>
                <w:spacing w:val="4"/>
              </w:rPr>
              <w:t xml:space="preserve">July 7,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37" w:type="dxa"/>
            <w:tcBorders/>
            <w:tcMar>
              <w:bottom w:w="0" w:type="dxa"/>
            </w:tcMar>
            <w:vAlign w:val="center"/>
          </w:tcPr>
          <w:p>
            <w:pPr>
              <w:pStyle w:val="TableContents"/>
              <w:bidi w:val="0"/>
              <w:spacing w:before="0" w:after="0"/>
              <w:jc w:val="left"/>
              <w:rPr/>
            </w:pPr>
            <w:r>
              <w:rPr>
                <w:spacing w:val="4"/>
              </w:rPr>
              <w:t>/s/ Constantino Spas Montesinos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Constantino Spas Montesinos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283"/>
              <w:jc w:val="left"/>
              <w:rPr/>
            </w:pPr>
            <w:r>
              <w:rPr>
                <w:spacing w:val="4"/>
              </w:rPr>
              <w:t>July 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15" w:name="tm2619274d3_ex5-1.htm"/>
      <w:bookmarkStart w:id="16" w:name="kstm2619274d3_ex51"/>
      <w:bookmarkEnd w:id="15"/>
      <w:bookmarkEnd w:id="16"/>
      <w:r>
        <w:rPr>
          <w:b/>
        </w:rPr>
        <w:t>Exhibit 5.1</w:t>
      </w:r>
      <w:r>
        <w:br w:type="page"/>
      </w:r>
    </w:p>
    <w:p>
      <w:pPr>
        <w:pStyle w:val="TextBody"/>
        <w:bidi w:val="0"/>
        <w:jc w:val="center"/>
        <w:rPr/>
      </w:pPr>
      <w:r>
        <w:rPr/>
        <w:t> </w:t>
      </w:r>
    </w:p>
    <w:p>
      <w:pPr>
        <w:pStyle w:val="TextBody"/>
        <w:bidi w:val="0"/>
        <w:jc w:val="center"/>
        <w:rPr/>
      </w:pPr>
      <w:r>
        <w:rPr/>
        <w:drawing>
          <wp:inline distT="0" distB="0" distL="0" distR="0">
            <wp:extent cx="2857500" cy="228600"/>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18"/>
                    <a:stretch>
                      <a:fillRect/>
                    </a:stretch>
                  </pic:blipFill>
                  <pic:spPr bwMode="auto">
                    <a:xfrm>
                      <a:off x="0" y="0"/>
                      <a:ext cx="2857500" cy="228600"/>
                    </a:xfrm>
                    <a:prstGeom prst="rect">
                      <a:avLst/>
                    </a:prstGeom>
                  </pic:spPr>
                </pic:pic>
              </a:graphicData>
            </a:graphic>
          </wp:inline>
        </w:drawing>
      </w:r>
    </w:p>
    <w:p>
      <w:pPr>
        <w:pStyle w:val="TextBody"/>
        <w:bidi w:val="0"/>
        <w:jc w:val="center"/>
        <w:rPr/>
      </w:pPr>
      <w:r>
        <w:rPr/>
        <w:t> </w:t>
      </w:r>
    </w:p>
    <w:p>
      <w:pPr>
        <w:pStyle w:val="TextBody"/>
        <w:bidi w:val="0"/>
        <w:jc w:val="center"/>
        <w:rPr/>
      </w:pPr>
      <w:r>
        <w:rPr/>
        <w:t>21 Platform Way South, Suite 3500</w:t>
      </w:r>
    </w:p>
    <w:p>
      <w:pPr>
        <w:pStyle w:val="TextBody"/>
        <w:bidi w:val="0"/>
        <w:jc w:val="center"/>
        <w:rPr/>
      </w:pPr>
      <w:r>
        <w:rPr/>
        <w:t>Nashville, TN 37203</w:t>
      </w:r>
    </w:p>
    <w:p>
      <w:pPr>
        <w:pStyle w:val="TextBody"/>
        <w:bidi w:val="0"/>
        <w:jc w:val="center"/>
        <w:rPr/>
      </w:pPr>
      <w:r>
        <w:rPr/>
        <w:t>(615) 742-6200</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South Front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 38103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AutoZone, Inc.,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its filing on the date hereof with the United States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on Form S-3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base prospectus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that will be supplemented by one or more prospectus supplements (each such prospectus supplement, together with the Base Prospectus, a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registration for the offer, issuance and sale by the Company of one or more series of the Company’s debt securities (collectively,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to be issued under an indenture dated as of August 8, 2003, between the Company and Regions Bank, successor to The Bank of New York Mellon Trust Company, N.A., as successor to Bank One Trust Company, N.A.,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(as amended or supplemented from time to time,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connection with the requirements of Item 601(b)(5) of Regulation S-K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no opinion is expressed herein as to any matter pertaining to the contents of the Registration Statement or related applicable Prospectus, other than as expressly stated herein with respect to the issue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such records, documents, certificates and other instruments as in our judgment are necessary or appropriate to form the basis for the opinions hereinafter set forth. In all such examinations, we have assumed the legal capacity of all natural persons, the genuineness of signatures on original documents and the conformity to such original documents of all copies submitted to us as certified, conformed or photographic copies, and as to certificates of public officials, we have assumed the same to have been properly given and to be accurate. As to facts material to the opinion expressed herein, we have relied upon statements and representations of officers and other representatives of the Company, public officials and others. We have not independently verified such factual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for purposes of this opinion letter, we have assumed that (i) the issuance, sale, amount and terms of any Debt Securities to be offered from time to time will have been duly authorized and established by proper action of the board of directors of the Company or a duly authorized committee thereof and other proper corporate action of the Company (“</w:t>
      </w:r>
      <w:r>
        <w:rPr>
          <w:rFonts w:ascii="Times New Roman;Times;Serif" w:hAnsi="Times New Roman;Times;Serif"/>
          <w:b/>
          <w:i/>
          <w:caps w:val="false"/>
          <w:smallCaps w:val="false"/>
          <w:sz w:val="20"/>
        </w:rPr>
        <w:t>Corporate Action</w:t>
      </w:r>
      <w:r>
        <w:rPr>
          <w:rFonts w:ascii="Times New Roman;Times;Serif" w:hAnsi="Times New Roman;Times;Serif"/>
          <w:b w:val="false"/>
          <w:i w:val="false"/>
          <w:caps w:val="false"/>
          <w:smallCaps w:val="false"/>
          <w:sz w:val="20"/>
        </w:rPr>
        <w:t>”), in accordance with the procedures and terms described in the Registration Statement and in accordance with the Company’s articles of incorporation and bylaws, as amended, and applicable Nevada corporate law, in a manner that does not violate any law, government or court-imposed order or restriction or agreement or instrument then binding on the Company or otherwise impair the legal or binding nature of the obligations represented by the applicable Debt Securities; (ii) at the time of offer, issuance and sale of any Debt Securities, the Registration Statement will be effective under the Securities Act, and no stop order suspending its effectiveness will have been issued and remain in effect; (iii) any Debt Securities will be issued pursuant to the Indenture; (iv) the Debt Securities will be delivered against payment of valid consideration therefor and in accordance with the terms of the applicable Corporate Action authorizing such sale and any underwriting agreement, purchase agreement or other applicable agreement as contemplated by the applicable Prospectus; (v) the Company will remain a Nevada corporation; (vi) the Indenture and the Debt Securities will be governed by the internal laws of the State of New York; and (vii) the status of each of the Indenture and the Debt Securities as legally valid and binding obligations of the parties thereto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herein is limited to the laws of the State of New York (but not including any laws, statutes, ordinances, administrative decisions, rules or regulations of any political subdivision below the state level), as currently in effect, that, in our experience, are applicable to the Notes and, to the extent that judicial or regulatory orders or decrees or consents, approvals, licenses, authorizations, validations, filings, recordings or registrations with governmental authorities are relevant, to those required under such laws (all of the foregoing being referred to as “</w:t>
      </w:r>
      <w:r>
        <w:rPr>
          <w:rFonts w:ascii="Times New Roman;Times;Serif" w:hAnsi="Times New Roman;Times;Serif"/>
          <w:b/>
          <w:i/>
          <w:caps w:val="false"/>
          <w:smallCaps w:val="false"/>
          <w:sz w:val="20"/>
        </w:rPr>
        <w:t>Covered Law</w:t>
      </w:r>
      <w:r>
        <w:rPr>
          <w:rFonts w:ascii="Times New Roman;Times;Serif" w:hAnsi="Times New Roman;Times;Serif"/>
          <w:b w:val="false"/>
          <w:i w:val="false"/>
          <w:caps w:val="false"/>
          <w:smallCaps w:val="false"/>
          <w:sz w:val="20"/>
        </w:rPr>
        <w:t>”). We do not express any opinion with respect to the law of any jurisdiction other than the Covered Law or as to the effect of any non-Covered Law on the opinion herein stated, or as to the securities or “blue sky” laws of any jurisdiction. The opinion expressed in this opinion letter is strictly limited to the matters stated in this opinion letter and no other opinions are to be implied. Various issues pertaining to laws of the State of Nevada, including the due authorization of the issuance of the Notes, are addressed in the opinion of Brownstein Hyatt Farber Schreck, LLP, Nevada counsel for the Company, which has been separately provided to you. We express no opinion with respect to those matters, and to the extent elements of those opinions are necessary to the conclusions expressed herein, we have, with your consent, assumed such matters. To the extent our opinion set forth below relates to the enforceability of the choice of New York law and choice of New York forum provisions of the Indenture, our opinion is rendered in reliance upon N.Y. Gen. Oblig. Law §§5-1401, 5-1402 and N.Y. C.P.L.R. 327(b) and is subject to the qualification that such enforceability may be limited by public policy considerations of any jurisdiction, other than the courts of the State of New York, in which enforcement of such provisions, or of a judgment upon an agreement containing such provisions, is sought. We have also assumed that the Company has complied with all aspects of applicable laws of jurisdictions other than the State of New York in connection with the transactions contemplated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limitations, qualifications, exceptions and assumptions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specific terms of a particular series of Debt Securities have been duly established in accordance with the terms of the Indenture and authorized by all necessary Corporate Action of the Company, and such Debt Securities have been duly executed, authenticated, issued and delivered against payment therefor in accordance with the terms of the Indenture and in the manner contemplated by the applicable Prospectus and by such Corporate Action, such Debt Securities will be the legally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rendered in the above paragraph is subject to the following exceptions, limitations and qualifications: (i) the effect of bankruptcy, insolvency, reorganization, fraudulent transfer and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enforcement is considered in a proceeding at law or in equity; (iii) the unenforceability under certain circumstances under law or court decisions of provisions providing for the indemnification of or contribution to a party with respect to a liability where such indemnification or contribution is contrary to public policy; and (iv) the unenforceability of any provision requiring the payment of attorneys’ fees, where such payment is contrary to law or public policy. We express no opinion (x) concerning the enforceability of any waiver of rights or defenses with respect to stay, extension or usury laws, (y) with respect to whether acceleration of the Notes may affect the collectability of any portion of the stated principal amount thereof which might be determined to constitute unearned interest thereon or (z) as to the enforceability of any provision to the extent it requires any party to indemnify any other person against loss in obtaining the currency due following a court judgment rendered in another currency. The opinion rendered in the above paragraph does not include an opinion with respect to compliance with laws relating to permissible rates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(i) the enforceability of any provision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or (E) modify or waive the rights to notice, legal defenses, rights granted by law, subrogation, opportunity for hearing, evidentiary requirements, stays or extensions, statutes of limitations and statutes of repose (including the tolling of the same), other procedural rights or other benefits that cannot be waived under applicable law; (ii) (A) whether an acceleration of the Debt Securities may affect the collectability of that portion of the stated principal amount thereof in excess of the public offering price to the extent that such portion was determined to constitute unearned interest thereon, and (B) the creation, validity, attachment, perfection, or priority of any lien or security interest; (iii) any legal requirements that are applicable to any party or its affiliates solely because such law, rule or regulation is part of a regulatory regime applicable to any such party or such affiliates as a result of the specific assets or business operations of such party or such affiliates; and (iv) the severability, if invalid, of provisions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obligations of the Company under the Indenture may be dependent on such matters, we have assumed further for purposes of this opinion letter that (i) the Trustee is duly organized, validly existing and in good standing under the laws of its jurisdiction of organization; (ii) the Trustee has the requisite power and authority to execute and deliver and to perform its obligations under the Indenture and the Debt Securities; (iii) the Trustee has duly authorized, executed and delivered the Indenture and the Debt Securities; (iv) the Statement of Eligibility of the Trustee on Form T-1 has been properly filed with the Commission; (v) the Indenture constitutes a legally valid and binding agreement of the Trustee, enforceable against it in accordance with its terms; and (vi) the Trustee is in compliance, generally and with respect to acting as Trustee under the Indenture, with all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informed us that you intend to issue the Debt Securities from time to time on a delayed or continuous basis, and this opinion is limited to the laws, including the rules and regulations, as in effect on the date hereof. We understand that, prior to issuing any Debt Securities, you will afford us an opportunity to review the operative documents pursuant to which such Debt Securities are to be issued (including the applicable prospectus supplement) and will file such supplement or amendment to this opinion letter (if any) as we may reasonably consider necessary or appropriate by reason of the terms of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above, we have assumed that the execution and delivery by the Company of the Indenture and the Notes and the performance by the Company of its obligations thereunder do not and will not violate, conflict with or constitute a default under any agreement or instrument to which the Company or its properties is subject. This opinion is for your benefit in connection with the Registration Statement and may be relied upon by you and by persons entitled to rely upon it pursuant to the applicable provisions of the Securities Act. We hereby consent to the filing of this opinion with the Commission as Exhibit 5.1 to the Registration Statement and to the use of our name in the Registration Statement and in the related Prospectus, which forms a part thereof under the heading “Legal Matters.” In giving this consent, we do not thereby admit that we are included in the category of persons whose consent is required under Section 7 of the Securities Act or the rules and regulations of the Commission thereunder. This opinion is expressed as of the date hereof unless otherwise expressly stated, and we disclaim any undertaking to advise you of any subsequent changes in the facts stated or assumed herein or of any subsequent changes in the applicable law.</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Bass, Berry &amp; Sims PLC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051C2C"/>
          <w:sz w:val="20"/>
        </w:rPr>
      </w:pPr>
      <w:bookmarkStart w:id="17" w:name="tm2619274d3_ex5-2.htm"/>
      <w:bookmarkStart w:id="18" w:name="kstm2619274d3_ex52"/>
      <w:bookmarkEnd w:id="17"/>
      <w:bookmarkEnd w:id="18"/>
      <w:r>
        <w:rPr>
          <w:rFonts w:ascii="Times New Roman;Times;Serif" w:hAnsi="Times New Roman;Times;Serif"/>
          <w:b/>
          <w:i w:val="false"/>
          <w:caps w:val="false"/>
          <w:smallCaps w:val="false"/>
          <w:color w:val="051C2C"/>
          <w:sz w:val="20"/>
        </w:rPr>
        <w:t>Exhibit 5.2</w:t>
      </w:r>
      <w:r>
        <w:br w:type="page"/>
      </w:r>
    </w:p>
    <w:p>
      <w:pPr>
        <w:pStyle w:val="TextBody"/>
        <w:bidi w:val="0"/>
        <w:spacing w:before="0" w:after="0"/>
        <w:ind w:left="0" w:right="0" w:hanging="0"/>
        <w:jc w:val="center"/>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3165"/>
        <w:gridCol w:w="3365"/>
      </w:tblGrid>
      <w:tr>
        <w:trPr/>
        <w:tc>
          <w:tcPr>
            <w:tcW w:w="3165" w:type="dxa"/>
            <w:tcBorders/>
            <w:vAlign w:val="center"/>
          </w:tcPr>
          <w:p>
            <w:pPr>
              <w:pStyle w:val="TableContents"/>
              <w:bidi w:val="0"/>
              <w:spacing w:before="0" w:after="283"/>
              <w:jc w:val="left"/>
              <w:rPr/>
            </w:pPr>
            <w:r>
              <w:rPr/>
              <w:drawing>
                <wp:inline distT="0" distB="0" distL="0" distR="0">
                  <wp:extent cx="1962150" cy="295275"/>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19"/>
                          <a:stretch>
                            <a:fillRect/>
                          </a:stretch>
                        </pic:blipFill>
                        <pic:spPr bwMode="auto">
                          <a:xfrm>
                            <a:off x="0" y="0"/>
                            <a:ext cx="1962150" cy="295275"/>
                          </a:xfrm>
                          <a:prstGeom prst="rect">
                            <a:avLst/>
                          </a:prstGeom>
                        </pic:spPr>
                      </pic:pic>
                    </a:graphicData>
                  </a:graphic>
                </wp:inline>
              </w:drawing>
            </w:r>
            <w:r>
              <w:rPr/>
              <w:t> </w:t>
            </w:r>
          </w:p>
        </w:tc>
        <w:tc>
          <w:tcPr>
            <w:tcW w:w="33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051C2C"/>
                <w:sz w:val="20"/>
              </w:rPr>
            </w:pPr>
            <w:r>
              <w:rPr>
                <w:rFonts w:ascii="Times New Roman;Times;Serif" w:hAnsi="Times New Roman;Times;Serif"/>
                <w:b/>
                <w:i w:val="false"/>
                <w:caps w:val="false"/>
                <w:smallCaps w:val="false"/>
                <w:color w:val="051C2C"/>
                <w:sz w:val="20"/>
              </w:rPr>
              <w:t>Brownstein Hyatt Farber Schreck,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702.382.2101 main</w:t>
              <w:br/>
              <w:t>100 North City Parkway, Suite 1600</w:t>
              <w:br/>
              <w:t>Las Vegas, Nevada 89106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South Front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 38103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Nevada counsel to AutoZone,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by the Company of a registration statement on Form S-3 (including the Prospectus (as defined below) contained therein,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relating to the registration for offering and sale from time to time by the Company, pursuant to the base prospectus included therein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of an indeterminate amount of senior or subordinated debt securities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to be issued pursuant to and in accordance with the Indenture, dated as of August 8, 2003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between the Company and Regions Bank (as successor in interest to The Bank of New York Mellon Trust Company, N.A., which in turn was the successor in interest to Bank One Trust Company, N.A.), as trustee. This opinion letter is being delivered at your request in accordance with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are familiar with the proceedings taken and proposed to be taken by the Company in connection with the registration of the Debt Securities as described in the Registration Statement. For purposes of this opinion letter, and except to the extent set forth in the opinions expressed below, we have assumed that all such proceedings have been or will be timely completed in the manner presently proposed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Registration Statement, including the Prospectus, (ii) the Company’s articles of incorporation and bylaws (collectively,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and (iii) such other agreements, instruments, corporate records (including, without limitation, resolutions adopted by the board of directors and any committee thereof and by the stockholders of the Company) and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we have, with your permission, assumed without independent verification that: (i) (a) any and all agreements, instruments and other documents relating to the offering, issuance, registration or sale of any Debt Securities, including, without limitation, the Indenture, including any officer’s certificate(s) or supplemental indenture(s) relating thereto (collectively, the “</w:t>
      </w:r>
      <w:r>
        <w:rPr>
          <w:rFonts w:ascii="Times New Roman;Times;Serif" w:hAnsi="Times New Roman;Times;Serif"/>
          <w:b w:val="false"/>
          <w:i w:val="false"/>
          <w:caps w:val="false"/>
          <w:smallCaps w:val="false"/>
          <w:sz w:val="20"/>
          <w:u w:val="single"/>
        </w:rPr>
        <w:t>Securities Documents</w:t>
      </w:r>
      <w:r>
        <w:rPr>
          <w:rFonts w:ascii="Times New Roman;Times;Serif" w:hAnsi="Times New Roman;Times;Serif"/>
          <w:b w:val="false"/>
          <w:i w:val="false"/>
          <w:caps w:val="false"/>
          <w:smallCaps w:val="false"/>
          <w:sz w:val="20"/>
        </w:rPr>
        <w:t>”), have been or will be duly authorized, executed and delivered by the Company and the other parties thereto; (b) the Company has taken or will take all corporate action required under applicable law to authorize and approve the specific terms (including, without limitation, the title and aggregate principal amount), and the offering, issuance and sale, of any Debt Securities (including, without limitation, any Debt Securities underlying, or issued or sold pursuant to or upon conversion, exchange or exercise of, any agreement) and all supplements to the Prospectus setting forth such terms, and (c) all Debt Securities will be offered, issued and sold in compliance with all applicable laws and the Governing Documents and in accordance with all applicable terms and conditions set forth in the relevant Securities Documents in effect at all relevant times (romanettes (i)(a) through (i)(c) above are referred to collectively herein as the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 (ii) the obligations of each party set forth in the Indenture are and will be its valid and binding obligations, enforceable in accordance with their respective terms; (iii) no Debt Securities will be offered, issued or sold in violation, contravention or breach of, nor will any such offering, issuance or sale result in a default under, any agreement or instrument that is binding upon the Company, or any requirement or restriction imposed by any governmental or regulatory agency, authority or body, or any court; (iv) the statements of fact and representations and warranties set forth in the documents we have reviewed are, and at all relevant times will be, true and correct as to factual matters; (v) each natural person executing a document at all relevant times had or will have sufficient legal capacity to do so; (vi) all documents submitted to us as originals are authentic, the signatures on all documents we reviewed are genuine, and any document submitted to us as certified, conformed, photostatic, electronic or facsimile copies conform to the original document; and (vii) all corporate records made available to us by the Company, and all public records we have reviewed, are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having regard to legal considerations and other information that we deem relevant,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validly existing as a corporation and in good standing under the laws of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and when all Corporate Proceedings have been taken and completed in respect of any offering, issuance or sale of Debt Securities, such Debt Securities will be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such time as the Registration Statement is declared effective. No opinion is offered or implied as to any matter, and no inference may be drawn, beyond the strict scope of the specific issues expressly addressed by the opinion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 Subject to all of the qualifications, limitations, restrictions, exceptions and assumptions set forth herein Bass, Berry Sims PLC may rely on this opinion letter as if it were an addressee hereof on this date for the sole purpose of issuing its opinion letter to the Company relating to the validity of any Debt Securities, as filed with the Commission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Brownstein Hyatt Farber Schreck,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19274d3_ex15-1.htm"/>
      <w:bookmarkStart w:id="20" w:name="kstm2619274d3_ex151"/>
      <w:bookmarkEnd w:id="19"/>
      <w:bookmarkEnd w:id="2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15.1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Stockholders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of the incorporation by reference in the Registration Statement (Form S-3) of AutoZone, Inc. for the registration of debt securities of our reports dated December 19, 2025, March 20, 2026 and June 12, 2026, relating to the unaudited condensed consolidated interim financial statements of AutoZone, Inc. that are included in its Forms 10-Q for the quarters ended November 22, 2025, February 14, 2026 and May 9, 2026.</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1895"/>
      </w:tblGrid>
      <w:tr>
        <w:trPr/>
        <w:tc>
          <w:tcPr>
            <w:tcW w:w="1895" w:type="dxa"/>
            <w:tcBorders/>
            <w:vAlign w:val="center"/>
          </w:tcPr>
          <w:p>
            <w:pPr>
              <w:pStyle w:val="TableContents"/>
              <w:bidi w:val="0"/>
              <w:spacing w:before="0" w:after="283"/>
              <w:jc w:val="left"/>
              <w:rPr>
                <w:sz w:val="20"/>
              </w:rPr>
            </w:pPr>
            <w:r>
              <w:rPr>
                <w:sz w:val="20"/>
              </w:rPr>
              <w:t>/s/ Ernst &amp; Young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1" w:name="tm2619274d3_ex23-1.htm"/>
      <w:bookmarkStart w:id="22" w:name="kstm2619274d3_ex231"/>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AutoZone, Inc. for the registration of debt securities and to the incorporation by reference therein of our reports dated October 27, 2025, with respect to the consolidated financial statements of AutoZone, Inc., and the effectiveness of internal control over financial reporting of AutoZone, Inc., included in its Annual Report (Form 10-K) for the year ended August 30,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23" w:name="tm2619274d3_ex25-1.htm"/>
      <w:bookmarkStart w:id="24" w:name="kstm2619274d3_ex25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 OF ELIGIBILITY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 THE TRUST INDENTURE ACT OF 1939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 CORPORATION DESIGNATED TO ACT AS TRUSTEE</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if an Application to Determine Eligibility of a Trustee Pursuant to Section 305(b)(2)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REGIONS BANK</w:t>
      </w:r>
      <w:r>
        <w:rPr>
          <w:rFonts w:ascii="Times New Roman;Times;Serif" w:hAnsi="Times New Roman;Times;Serif"/>
          <w:b w:val="false"/>
          <w:i w:val="false"/>
          <w:caps w:val="false"/>
          <w:smallCaps w:val="false"/>
          <w:sz w:val="4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410"/>
        <w:gridCol w:w="60"/>
        <w:gridCol w:w="1565"/>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Alabama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63-0371391</w:t>
            </w:r>
          </w:p>
        </w:tc>
      </w:tr>
      <w:tr>
        <w:trPr/>
        <w:tc>
          <w:tcPr>
            <w:tcW w:w="34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if not a U.S. national bank)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1900 Fifth Avenue North, Birmingham, AL 35203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Regions Bank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8182 Maryland Avenue, 12th Floor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Clayton, Missouri 63105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615-3588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AutoZone,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62-1482048</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123 South Front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Memphis, Tennessee 38103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Telephone: (901) 495-6500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indenture securities)</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20"/>
        <w:gridCol w:w="18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General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 the following information as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Name and address of each examining or supervisory authority to which it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Alabama State Banking Department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4600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Montgomery, AL 36103-4600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Reserve Bank of Atlanta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Whether it is authorized to exercise corporate trust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authorized to exercise corporate trust powers.</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20"/>
        <w:gridCol w:w="21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Affiliations with Obligor.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 such affiliation.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obligor is not an affiliate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3 - 15. </w:t>
      </w:r>
      <w:r>
        <w:rPr>
          <w:rFonts w:ascii="Times New Roman;Times;Serif" w:hAnsi="Times New Roman;Times;Serif"/>
          <w:b w:val="false"/>
          <w:i w:val="false"/>
          <w:caps w:val="false"/>
          <w:smallCaps w:val="false"/>
          <w:sz w:val="20"/>
        </w:rPr>
        <w:t>No responses are included for Items 3 through 15. Responses to those Items are not required because, as provided in General Instruction B, the obligor is not in default on any securities issued under indentures under which Regions Bank is a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16. List of Exhibits. </w:t>
      </w:r>
      <w:r>
        <w:rPr>
          <w:rFonts w:ascii="Times New Roman;Times;Serif" w:hAnsi="Times New Roman;Times;Serif"/>
          <w:b w:val="false"/>
          <w:i w:val="false"/>
          <w:caps w:val="false"/>
          <w:smallCaps w:val="false"/>
          <w:sz w:val="20"/>
        </w:rPr>
        <w:t>List below all exhibits filed as part of this statement of eligibility.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7"/>
        <w:gridCol w:w="60"/>
        <w:gridCol w:w="9318"/>
      </w:tblGrid>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Articles of Incorporation of the trustee now in effect.</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authority of Regions Bank to commence business was granted under the Articles of Incorporation for Regions Bank, incorporated herein by reference to Exhibit 1 of Form T-1.</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3.</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authorization to exercise corporate trust powers was granted under the Articles of Incorporation for Regions Bank, incorporated herein by reference to Exhibit 1 of Form T-1.</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4.</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bylaws of the trustee as now in effect.</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5.</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6.</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consent of the trustee required by Section 321(b) of the Act.</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7.</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latest report of condition of the trustee published pursuant to law or the requirements of its supervising or examining authority.</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8.</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r>
              <w:rPr/>
              <w:t> </w:t>
            </w:r>
          </w:p>
        </w:tc>
      </w:tr>
      <w:tr>
        <w:trPr/>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Regions Bank, a state chartered bank organized and existing under the laws of Alabama, has duly caused this statement of eligibility to be signed on its behalf by the undersigned, thereunto duly authorized, all in the City of Clayton and the State of Missouri, on the seventh day of July, 2026.</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695"/>
        <w:gridCol w:w="1550"/>
      </w:tblGrid>
      <w:tr>
        <w:trPr/>
        <w:tc>
          <w:tcPr>
            <w:tcW w:w="75"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REGIONS BANK</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8" w:space="0" w:color="000000"/>
            </w:tcBorders>
            <w:tcMar>
              <w:bottom w:w="28" w:type="dxa"/>
            </w:tcMar>
            <w:vAlign w:val="center"/>
          </w:tcPr>
          <w:p>
            <w:pPr>
              <w:pStyle w:val="TableContents"/>
              <w:bidi w:val="0"/>
              <w:spacing w:before="0" w:after="283"/>
              <w:jc w:val="left"/>
              <w:rPr/>
            </w:pPr>
            <w:r>
              <w:rPr/>
              <w:t>/s/ Kristine Prall</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Kristine Prall</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tbl>
      <w:tblPr>
        <w:tblW w:w="3545" w:type="dxa"/>
        <w:jc w:val="left"/>
        <w:tblInd w:w="0" w:type="dxa"/>
        <w:tblLayout w:type="fixed"/>
        <w:tblCellMar>
          <w:top w:w="0" w:type="dxa"/>
          <w:left w:w="0" w:type="dxa"/>
          <w:bottom w:w="0" w:type="dxa"/>
          <w:right w:w="0" w:type="dxa"/>
        </w:tblCellMar>
      </w:tblPr>
      <w:tblGrid>
        <w:gridCol w:w="3545"/>
      </w:tblGrid>
      <w:tr>
        <w:trPr/>
        <w:tc>
          <w:tcPr>
            <w:tcW w:w="35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ARTICLES OF AMENDMENT TO THE </w:t>
              <w:br/>
              <w:t xml:space="preserve">ARTICLES OF INCORPORATION </w:t>
              <w:br/>
              <w:t xml:space="preserve">OF </w:t>
              <w:br/>
              <w:t xml:space="preserve">REGIONS BANK </w:t>
              <w:br/>
              <w:t>an Alabama banking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10A-1-3.13 and Sections 10A-2-10.01 through 10A-2-10.09 of the Alabama Business and Nonprofit Entities Code, as amended, (the "Law"), the undersigned banking corporation adopts the following Articles of Amendment to its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 xml:space="preserve">The name of the banking corporation is Regions Bank (the "Bank"). </w:t>
      </w:r>
      <w:r>
        <w:rPr>
          <w:rFonts w:ascii="Times New Roman;Times;Serif" w:hAnsi="Times New Roman;Times;Serif"/>
          <w:b/>
          <w:i w:val="false"/>
          <w:caps w:val="false"/>
          <w:smallCaps w:val="false"/>
          <w:sz w:val="20"/>
          <w:u w:val="single"/>
        </w:rPr>
        <w:t>SECOND:</w:t>
      </w:r>
      <w:r>
        <w:rPr>
          <w:rFonts w:ascii="Times New Roman;Times;Serif" w:hAnsi="Times New Roman;Times;Serif"/>
          <w:b w:val="false"/>
          <w:i w:val="false"/>
          <w:caps w:val="false"/>
          <w:smallCaps w:val="false"/>
          <w:sz w:val="20"/>
        </w:rPr>
        <w:t xml:space="preserve"> The Bank is an Alabama banking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The Restated Articles of Incorporation of the Bank were filed with the Office of the Judge of Probate of Jefferson County, Alabama on October 28, 2014. The Alabama Entity ID Number of the Bank is 006-854.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FOURTH:</w:t>
      </w:r>
      <w:r>
        <w:rPr>
          <w:rFonts w:ascii="Times New Roman;Times;Serif" w:hAnsi="Times New Roman;Times;Serif"/>
          <w:b w:val="false"/>
          <w:i w:val="false"/>
          <w:caps w:val="false"/>
          <w:smallCaps w:val="false"/>
          <w:sz w:val="20"/>
        </w:rPr>
        <w:t xml:space="preserve"> The Second Amended and Restated Certificate of Incorporation,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incorporated herein by this reference, is hereby adopted as the articles of incorporation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FIFTH:</w:t>
      </w:r>
      <w:r>
        <w:rPr>
          <w:rFonts w:ascii="Times New Roman;Times;Serif" w:hAnsi="Times New Roman;Times;Serif"/>
          <w:b w:val="false"/>
          <w:i w:val="false"/>
          <w:caps w:val="false"/>
          <w:smallCaps w:val="false"/>
          <w:sz w:val="20"/>
        </w:rPr>
        <w:t xml:space="preserve"> The Second Amended and Restated Certificate of Incorporation was adopted and approved by the Board of Directors of the Bank at a meeting duly called and held on July 22, 2020 and by the sole shareholder of the Bank pursuant to an action by written consent dated as of July 22,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designation, number of outstanding shares, and number of votes entitled to be cast by the sole shareholder on the Second Amended and Restated Certificate of Incorporation were as follows:</w:t>
      </w:r>
    </w:p>
    <w:p>
      <w:pPr>
        <w:pStyle w:val="TextBody"/>
        <w:bidi w:val="0"/>
        <w:spacing w:before="0" w:after="0"/>
        <w:ind w:left="0" w:right="0" w:hanging="0"/>
        <w:jc w:val="left"/>
        <w:rPr>
          <w:caps w:val="false"/>
          <w:smallCaps w:val="false"/>
        </w:rPr>
      </w:pPr>
      <w:r>
        <w:rPr>
          <w:caps w:val="false"/>
          <w:smallCaps w:val="false"/>
        </w:rPr>
        <w:t> </w:t>
      </w:r>
    </w:p>
    <w:tbl>
      <w:tblPr>
        <w:tblW w:w="5279" w:type="dxa"/>
        <w:jc w:val="center"/>
        <w:tblInd w:w="0" w:type="dxa"/>
        <w:tblLayout w:type="fixed"/>
        <w:tblCellMar>
          <w:top w:w="0" w:type="dxa"/>
          <w:left w:w="0" w:type="dxa"/>
          <w:bottom w:w="28" w:type="dxa"/>
          <w:right w:w="0" w:type="dxa"/>
        </w:tblCellMar>
      </w:tblPr>
      <w:tblGrid>
        <w:gridCol w:w="2630"/>
        <w:gridCol w:w="60"/>
        <w:gridCol w:w="97"/>
        <w:gridCol w:w="958"/>
        <w:gridCol w:w="60"/>
        <w:gridCol w:w="60"/>
        <w:gridCol w:w="123"/>
        <w:gridCol w:w="1216"/>
        <w:gridCol w:w="75"/>
      </w:tblGrid>
      <w:tr>
        <w:trPr/>
        <w:tc>
          <w:tcPr>
            <w:tcW w:w="26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Entitled to Vote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SEVENTH:</w:t>
      </w:r>
      <w:r>
        <w:rPr>
          <w:rFonts w:ascii="Times New Roman;Times;Serif" w:hAnsi="Times New Roman;Times;Serif"/>
          <w:b w:val="false"/>
          <w:i w:val="false"/>
          <w:caps w:val="false"/>
          <w:smallCaps w:val="false"/>
          <w:sz w:val="20"/>
        </w:rPr>
        <w:t xml:space="preserve"> The number of shares entitled to vote on the Second Amended and Restated Certificate of Incorporation that voted FOR the Second Amended and Restated Certificate of Incorporation and the number of shares entitled to vote on the Second Amended and Restated Certificate of Incorporation that voted AGAINST the Second Amended and Restated Certificate of Incorporation were as follows:</w:t>
      </w:r>
    </w:p>
    <w:p>
      <w:pPr>
        <w:pStyle w:val="TextBody"/>
        <w:bidi w:val="0"/>
        <w:spacing w:before="0" w:after="0"/>
        <w:ind w:left="0" w:right="0" w:hanging="0"/>
        <w:jc w:val="left"/>
        <w:rPr>
          <w:caps w:val="false"/>
          <w:smallCaps w:val="false"/>
        </w:rPr>
      </w:pPr>
      <w:r>
        <w:rPr>
          <w:caps w:val="false"/>
          <w:smallCaps w:val="false"/>
        </w:rPr>
        <w:t> </w:t>
      </w:r>
    </w:p>
    <w:tbl>
      <w:tblPr>
        <w:tblW w:w="3598" w:type="dxa"/>
        <w:jc w:val="center"/>
        <w:tblInd w:w="0" w:type="dxa"/>
        <w:tblLayout w:type="fixed"/>
        <w:tblCellMar>
          <w:top w:w="0" w:type="dxa"/>
          <w:left w:w="0" w:type="dxa"/>
          <w:bottom w:w="0" w:type="dxa"/>
          <w:right w:w="0" w:type="dxa"/>
        </w:tblCellMar>
      </w:tblPr>
      <w:tblGrid>
        <w:gridCol w:w="1295"/>
        <w:gridCol w:w="60"/>
        <w:gridCol w:w="94"/>
        <w:gridCol w:w="930"/>
        <w:gridCol w:w="60"/>
        <w:gridCol w:w="60"/>
        <w:gridCol w:w="332"/>
        <w:gridCol w:w="692"/>
        <w:gridCol w:w="75"/>
      </w:tblGrid>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Voted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b/>
                <w:sz w:val="20"/>
              </w:rPr>
            </w:pPr>
            <w:r>
              <w:rPr>
                <w:b/>
                <w:sz w:val="20"/>
              </w:rPr>
              <w:t>Total Voted</w:t>
            </w:r>
          </w:p>
        </w:tc>
        <w:tc>
          <w:tcPr>
            <w:tcW w:w="75" w:type="dxa"/>
            <w:tcBorders/>
            <w:vAlign w:val="center"/>
          </w:tcPr>
          <w:p>
            <w:pPr>
              <w:pStyle w:val="TableContents"/>
              <w:bidi w:val="0"/>
              <w:spacing w:before="0" w:after="283"/>
              <w:jc w:val="center"/>
              <w:rPr/>
            </w:pPr>
            <w:r>
              <w:rPr/>
              <w:t> </w:t>
            </w:r>
          </w:p>
        </w:tc>
      </w:tr>
      <w:tr>
        <w:trPr/>
        <w:tc>
          <w:tcPr>
            <w:tcW w:w="1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EIGHTH:</w:t>
      </w:r>
      <w:r>
        <w:rPr>
          <w:rFonts w:ascii="Times New Roman;Times;Serif" w:hAnsi="Times New Roman;Times;Serif"/>
          <w:b w:val="false"/>
          <w:i w:val="false"/>
          <w:caps w:val="false"/>
          <w:smallCaps w:val="false"/>
          <w:sz w:val="20"/>
        </w:rPr>
        <w:t xml:space="preserve"> The number of shares that voted FOR the Second Amended and Restated Certificate of Incorporation was sufficient for approval thereof by the sole shareholder of the Bank, as required by the Law and the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 xml:space="preserve">The original written approval issued by the Superintendent of the Alabama State Banking Department with respect to the Second Amended and Restated Certificate of Incorporation is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recorded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Bank has caused these Articles of Amendment to the Articles of Incorporation of the Bank to be executed in its name and on its behalf as of August 6, 2020.</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290"/>
        <w:gridCol w:w="83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w:t>
            </w:r>
          </w:p>
        </w:tc>
      </w:tr>
      <w:tr>
        <w:trPr/>
        <w:tc>
          <w:tcPr>
            <w:tcW w:w="75" w:type="dxa"/>
            <w:tcBorders/>
            <w:vAlign w:val="center"/>
          </w:tcPr>
          <w:p>
            <w:pPr>
              <w:pStyle w:val="TableContents"/>
              <w:bidi w:val="0"/>
              <w:spacing w:before="0" w:after="283"/>
              <w:jc w:val="left"/>
              <w:rPr/>
            </w:pPr>
            <w:r>
              <w:rPr/>
              <w:t> </w:t>
            </w:r>
          </w:p>
        </w:tc>
        <w:tc>
          <w:tcPr>
            <w:tcW w:w="86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Alabama banking corporation</w:t>
            </w:r>
          </w:p>
        </w:tc>
      </w:tr>
      <w:tr>
        <w:trPr/>
        <w:tc>
          <w:tcPr>
            <w:tcW w:w="75" w:type="dxa"/>
            <w:tcBorders/>
            <w:vAlign w:val="center"/>
          </w:tcPr>
          <w:p>
            <w:pPr>
              <w:pStyle w:val="TableContents"/>
              <w:bidi w:val="0"/>
              <w:spacing w:before="0" w:after="283"/>
              <w:jc w:val="left"/>
              <w:rPr/>
            </w:pPr>
            <w:r>
              <w:rPr/>
              <w:t> </w:t>
            </w:r>
          </w:p>
        </w:tc>
        <w:tc>
          <w:tcPr>
            <w:tcW w:w="86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8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Hope D. Mehlman</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Hope D. Mehlman</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Secretary, Chief Governance Officer, and Deputy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prepared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 Nix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Maynard, Cooper &amp; Gale, P.C.</w:t>
        <w:br/>
        <w:t>1901 Sixth Avenue North</w:t>
        <w:br/>
        <w:t>2400 Regions/Harbert Plaza</w:t>
        <w:br/>
        <w:t>Birmingham, AL 35203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254-1000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AMENDED AND RESTATED CERTIFICATE OF INCORPORATION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283"/>
              <w:jc w:val="both"/>
              <w:rPr/>
            </w:pPr>
            <w:r>
              <w:rPr/>
              <w:t>The name of this corporation shall be Regions Bank. The corporation is a domestic banking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both"/>
              <w:rPr/>
            </w:pPr>
            <w:r>
              <w:rPr/>
              <w:t>The principal place of business of the corporation shall be 1900 Fifth Avenue North, Birmingham, Alabama 35203. The general business of Regions Bank (the "Bank") shall be conducted at its main office and its branches and other facilities.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17"/>
        <w:gridCol w:w="9828"/>
      </w:tblGrid>
      <w:tr>
        <w:trPr/>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3.</w:t>
            </w:r>
          </w:p>
        </w:tc>
        <w:tc>
          <w:tcPr>
            <w:tcW w:w="9828" w:type="dxa"/>
            <w:tcBorders/>
            <w:vAlign w:val="center"/>
          </w:tcPr>
          <w:p>
            <w:pPr>
              <w:pStyle w:val="TableContents"/>
              <w:bidi w:val="0"/>
              <w:spacing w:before="0" w:after="283"/>
              <w:jc w:val="both"/>
              <w:rPr/>
            </w:pPr>
            <w:r>
              <w:rPr/>
              <w:t>The Bank shall have the following objects, purposes and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 xml:space="preserve">To be and serve as an Alabama banking corporation pursuant to the Alabama Banking Code, Section 5-1A-1 </w:t>
            </w:r>
            <w:r>
              <w:rPr>
                <w:i/>
              </w:rPr>
              <w:t xml:space="preserve">et seq. </w:t>
            </w:r>
            <w:r>
              <w:rPr/>
              <w:t>of the Code of Alabama 1975, as amended (together with any act amendatory thereof, supplementary thereto or substituted therefor, hereinafter referred to as the "Banking Code"), with all the power and authority that may be exercised by an Alabama banking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To engage in any lawful business, act or activity for which a banking corporation may be organized under Alabama law, it being the purpose and intent of this section to invest the Bank with the broadest objects, purposes and powers lawfully permitted an Alabama banking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 xml:space="preserve">To engage in any lawful business, act or activity for which a corporation may be organized under the Alabama Business Corporation Law of 2019, Section 10A-2A-1.01 </w:t>
            </w:r>
            <w:r>
              <w:rPr>
                <w:i/>
              </w:rPr>
              <w:t xml:space="preserve">et seq. </w:t>
            </w:r>
            <w:r>
              <w:rPr/>
              <w:t>of the Code of Alabama 1975, as amended (together with any act amendatory thereof, supplementary thereto or substituted therefor, hereinafter referred to as the "ABCL"), to the extent not inconsistent with the provisions of the Banking Code or any other regulation of a banking corporation in the State of Alabama.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Without limiting the scope and generality of the foregoing, the Bank shall have the following specific objects, purposes and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To conduct a general banking business through such means and at such places as the Board of Directors may deem proper.</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0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6110" w:type="dxa"/>
            <w:tcBorders/>
            <w:vAlign w:val="center"/>
          </w:tcPr>
          <w:p>
            <w:pPr>
              <w:pStyle w:val="TableContents"/>
              <w:bidi w:val="0"/>
              <w:spacing w:before="0" w:after="283"/>
              <w:jc w:val="left"/>
              <w:rPr/>
            </w:pPr>
            <w:r>
              <w:rPr/>
              <w:t>To sue and be sued, complain and defend, in its corporate name.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To have a corporate seal which may be altered at pleasure, and to use the same by causing it, or a facsimile thereof, to be impressed or affixed or in any other manner reproduced.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t>To purchase, take, receive, lease or otherwise acquire, own, hold, improve, use and otherwise deal in and with, real or personal property, or any interest therein, wherever situated.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both"/>
              <w:rPr/>
            </w:pPr>
            <w:r>
              <w:rPr/>
              <w:t>To sell, convey, mortgage, pledge, lease, exchange, transfer and otherwise dispose of all or any part of its property and assets, subject to the limitations hereinafter prescribed.</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6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5300" w:type="dxa"/>
            <w:tcBorders/>
            <w:vAlign w:val="center"/>
          </w:tcPr>
          <w:p>
            <w:pPr>
              <w:pStyle w:val="TableContents"/>
              <w:bidi w:val="0"/>
              <w:spacing w:before="0" w:after="283"/>
              <w:jc w:val="both"/>
              <w:rPr/>
            </w:pPr>
            <w:r>
              <w:rPr/>
              <w:t>To lend money and use its credit to assist its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7" w:type="dxa"/>
            <w:tcBorders/>
            <w:vAlign w:val="center"/>
          </w:tcPr>
          <w:p>
            <w:pPr>
              <w:pStyle w:val="TableContents"/>
              <w:bidi w:val="0"/>
              <w:spacing w:before="0" w:after="283"/>
              <w:jc w:val="both"/>
              <w:rPr/>
            </w:pPr>
            <w:r>
              <w:rPr/>
              <w:t>To purchase, take, receive, subscribe for or otherwise acquire, own, hold, vote, use, employ, sell, mortgage, lend, pledge or otherwise dispose of, and otherwise use and deal in and with, shares or other interests in, or obligations of, other domestic or foreign corporations, associations, partnerships or individuals, or direct or indirect obligations of the United States or of any other government, state, territory, governmental district or municipality or of any instrumentality thereof as may be permitted by law or appropriate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7" w:type="dxa"/>
            <w:tcBorders/>
            <w:vAlign w:val="center"/>
          </w:tcPr>
          <w:p>
            <w:pPr>
              <w:pStyle w:val="TableContents"/>
              <w:bidi w:val="0"/>
              <w:spacing w:before="0" w:after="283"/>
              <w:jc w:val="both"/>
              <w:rPr/>
            </w:pPr>
            <w:r>
              <w:rPr/>
              <w:t>To make contracts, guarantees and indemnity agreements and incur liabilities, borrow money at such rates of interest as the corporation may determine, issue its notes, bonds and other obligations, and secure any of its obligations by mortgage, pledge of or creation of security interests in, all or any of its property, franchises or income, or any interest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7" w:type="dxa"/>
            <w:tcBorders/>
            <w:vAlign w:val="center"/>
          </w:tcPr>
          <w:p>
            <w:pPr>
              <w:pStyle w:val="TableContents"/>
              <w:bidi w:val="0"/>
              <w:spacing w:before="0" w:after="283"/>
              <w:jc w:val="both"/>
              <w:rPr/>
            </w:pPr>
            <w:r>
              <w:rPr/>
              <w:t>To lend money for its corporate purposes, invest and reinvest its funds and take and hold real and personal property as security for the payment of funds so loaned or invested.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9967" w:type="dxa"/>
            <w:tcBorders/>
            <w:vAlign w:val="center"/>
          </w:tcPr>
          <w:p>
            <w:pPr>
              <w:pStyle w:val="TableContents"/>
              <w:bidi w:val="0"/>
              <w:spacing w:before="0" w:after="283"/>
              <w:jc w:val="both"/>
              <w:rPr/>
            </w:pPr>
            <w:r>
              <w:rPr/>
              <w:t>To conduct its business, carry on its operations and have offices and exercise the powers granted by this section, within or without the State of Alabama.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xi.</w:t>
            </w:r>
          </w:p>
        </w:tc>
        <w:tc>
          <w:tcPr>
            <w:tcW w:w="9907" w:type="dxa"/>
            <w:tcBorders/>
            <w:vAlign w:val="center"/>
          </w:tcPr>
          <w:p>
            <w:pPr>
              <w:pStyle w:val="TableContents"/>
              <w:bidi w:val="0"/>
              <w:spacing w:before="0" w:after="283"/>
              <w:jc w:val="both"/>
              <w:rPr/>
            </w:pPr>
            <w:r>
              <w:rPr/>
              <w:t>To elect or appoint and remove officers and agents of the Bank, define their duties and fix their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xii.</w:t>
            </w:r>
          </w:p>
        </w:tc>
        <w:tc>
          <w:tcPr>
            <w:tcW w:w="9847" w:type="dxa"/>
            <w:tcBorders/>
            <w:vAlign w:val="center"/>
          </w:tcPr>
          <w:p>
            <w:pPr>
              <w:pStyle w:val="TableContents"/>
              <w:bidi w:val="0"/>
              <w:spacing w:before="0" w:after="283"/>
              <w:jc w:val="both"/>
              <w:rPr/>
            </w:pPr>
            <w:r>
              <w:rPr/>
              <w:t>To make and alter by its board of directors by-laws not inconsistent with its certificate of incorporation or with the laws of the State of Alabama for the administration and regulation of the affairs of the Bank.</w:t>
            </w:r>
          </w:p>
        </w:tc>
      </w:tr>
    </w:tbl>
    <w:p>
      <w:pPr>
        <w:pStyle w:val="TextBody"/>
        <w:bidi w:val="0"/>
        <w:spacing w:before="0" w:after="0"/>
        <w:ind w:left="0" w:right="0" w:hanging="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38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xiii.</w:t>
            </w:r>
          </w:p>
        </w:tc>
        <w:tc>
          <w:tcPr>
            <w:tcW w:w="8810" w:type="dxa"/>
            <w:tcBorders/>
            <w:vAlign w:val="center"/>
          </w:tcPr>
          <w:p>
            <w:pPr>
              <w:pStyle w:val="TableContents"/>
              <w:bidi w:val="0"/>
              <w:spacing w:before="0" w:after="283"/>
              <w:jc w:val="both"/>
              <w:rPr/>
            </w:pPr>
            <w:r>
              <w:rPr/>
              <w:t>To make donations for the public welfare or for charitable, scientific or educational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xiv.</w:t>
            </w:r>
          </w:p>
        </w:tc>
        <w:tc>
          <w:tcPr>
            <w:tcW w:w="9787" w:type="dxa"/>
            <w:tcBorders/>
            <w:vAlign w:val="center"/>
          </w:tcPr>
          <w:p>
            <w:pPr>
              <w:pStyle w:val="TableContents"/>
              <w:bidi w:val="0"/>
              <w:spacing w:before="0" w:after="283"/>
              <w:jc w:val="both"/>
              <w:rPr/>
            </w:pPr>
            <w:r>
              <w:rPr/>
              <w:t>To transact any lawful business which the board of directors shall find will be in aid of governmental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xv.</w:t>
            </w:r>
          </w:p>
        </w:tc>
        <w:tc>
          <w:tcPr>
            <w:tcW w:w="9847" w:type="dxa"/>
            <w:tcBorders/>
            <w:vAlign w:val="center"/>
          </w:tcPr>
          <w:p>
            <w:pPr>
              <w:pStyle w:val="TableContents"/>
              <w:bidi w:val="0"/>
              <w:spacing w:before="0" w:after="283"/>
              <w:jc w:val="both"/>
              <w:rPr/>
            </w:pPr>
            <w:r>
              <w:rPr/>
              <w:t>To pay pensions and establish pension plans, pension trusts, profit sharing plans, stock bonus plans, stock option plans and other incentive plans for any or all of its directors,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xvi.</w:t>
            </w:r>
          </w:p>
        </w:tc>
        <w:tc>
          <w:tcPr>
            <w:tcW w:w="9787" w:type="dxa"/>
            <w:tcBorders/>
            <w:vAlign w:val="center"/>
          </w:tcPr>
          <w:p>
            <w:pPr>
              <w:pStyle w:val="TableContents"/>
              <w:bidi w:val="0"/>
              <w:spacing w:before="0" w:after="283"/>
              <w:jc w:val="both"/>
              <w:rPr/>
            </w:pPr>
            <w:r>
              <w:rPr/>
              <w:t>To be a promoter, incorporator, partner, member, trustee, associate or manager of any domestic or foreign corporation, partnership, joint venture, trust or other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xvii.</w:t>
            </w:r>
          </w:p>
        </w:tc>
        <w:tc>
          <w:tcPr>
            <w:tcW w:w="9727" w:type="dxa"/>
            <w:tcBorders/>
            <w:vAlign w:val="center"/>
          </w:tcPr>
          <w:p>
            <w:pPr>
              <w:pStyle w:val="TableContents"/>
              <w:bidi w:val="0"/>
              <w:spacing w:before="0" w:after="283"/>
              <w:jc w:val="both"/>
              <w:rPr/>
            </w:pPr>
            <w:r>
              <w:rPr/>
              <w:t>To consolidate or merge, before or after the completion of its works, with any other foreign or domestic corporation or corporations engaged in the business of banking or trust companies doing a banking business.</w:t>
            </w:r>
          </w:p>
        </w:tc>
      </w:tr>
    </w:tbl>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50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xviii.</w:t>
            </w:r>
          </w:p>
        </w:tc>
        <w:tc>
          <w:tcPr>
            <w:tcW w:w="4790" w:type="dxa"/>
            <w:tcBorders/>
            <w:vAlign w:val="center"/>
          </w:tcPr>
          <w:p>
            <w:pPr>
              <w:pStyle w:val="TableContents"/>
              <w:bidi w:val="0"/>
              <w:spacing w:before="0" w:after="283"/>
              <w:jc w:val="both"/>
              <w:rPr/>
            </w:pPr>
            <w:r>
              <w:rPr/>
              <w:t>To discount bills, notes or other evidences of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xix.</w:t>
            </w:r>
          </w:p>
        </w:tc>
        <w:tc>
          <w:tcPr>
            <w:tcW w:w="9787" w:type="dxa"/>
            <w:tcBorders/>
            <w:vAlign w:val="center"/>
          </w:tcPr>
          <w:p>
            <w:pPr>
              <w:pStyle w:val="TableContents"/>
              <w:bidi w:val="0"/>
              <w:spacing w:before="0" w:after="283"/>
              <w:jc w:val="both"/>
              <w:rPr/>
            </w:pPr>
            <w:r>
              <w:rPr/>
              <w:t>To receive and pay out deposits, with or without interest, pay checks and impose charges for any services.</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32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xx.</w:t>
            </w:r>
          </w:p>
        </w:tc>
        <w:tc>
          <w:tcPr>
            <w:tcW w:w="8480" w:type="dxa"/>
            <w:tcBorders/>
            <w:vAlign w:val="center"/>
          </w:tcPr>
          <w:p>
            <w:pPr>
              <w:pStyle w:val="TableContents"/>
              <w:bidi w:val="0"/>
              <w:spacing w:before="0" w:after="283"/>
              <w:jc w:val="both"/>
              <w:rPr/>
            </w:pPr>
            <w:r>
              <w:rPr/>
              <w:t>To receive on special deposit money, bullion or foreign coins or bonds or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xxi.</w:t>
            </w:r>
          </w:p>
        </w:tc>
        <w:tc>
          <w:tcPr>
            <w:tcW w:w="9787" w:type="dxa"/>
            <w:tcBorders/>
            <w:vAlign w:val="center"/>
          </w:tcPr>
          <w:p>
            <w:pPr>
              <w:pStyle w:val="TableContents"/>
              <w:bidi w:val="0"/>
              <w:spacing w:before="0" w:after="283"/>
              <w:jc w:val="both"/>
              <w:rPr/>
            </w:pPr>
            <w:r>
              <w:rPr/>
              <w:t>To buy and sell foreign and domestic exchanges, gold and silver bullion or foreign coins, bonds, bills of exchange, notes and other negotiable paper.</w:t>
            </w:r>
          </w:p>
        </w:tc>
      </w:tr>
    </w:tbl>
    <w:p>
      <w:pPr>
        <w:pStyle w:val="TextBody"/>
        <w:bidi w:val="0"/>
        <w:spacing w:before="0" w:after="0"/>
        <w:ind w:left="0" w:right="0" w:hanging="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44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xxii.</w:t>
            </w:r>
          </w:p>
        </w:tc>
        <w:tc>
          <w:tcPr>
            <w:tcW w:w="9410" w:type="dxa"/>
            <w:tcBorders/>
            <w:vAlign w:val="center"/>
          </w:tcPr>
          <w:p>
            <w:pPr>
              <w:pStyle w:val="TableContents"/>
              <w:bidi w:val="0"/>
              <w:spacing w:before="0" w:after="283"/>
              <w:jc w:val="both"/>
              <w:rPr/>
            </w:pPr>
            <w:r>
              <w:rPr/>
              <w:t>To lend money on personal security or upon pledges of bonds, stocks or other negotiable securities.</w:t>
            </w:r>
          </w:p>
        </w:tc>
      </w:tr>
    </w:tbl>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50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xxiii.</w:t>
            </w:r>
          </w:p>
        </w:tc>
        <w:tc>
          <w:tcPr>
            <w:tcW w:w="8960" w:type="dxa"/>
            <w:tcBorders/>
            <w:vAlign w:val="center"/>
          </w:tcPr>
          <w:p>
            <w:pPr>
              <w:pStyle w:val="TableContents"/>
              <w:bidi w:val="0"/>
              <w:spacing w:before="0" w:after="283"/>
              <w:jc w:val="both"/>
              <w:rPr/>
            </w:pPr>
            <w:r>
              <w:rPr/>
              <w:t>To take and receive security by mortgage, security or otherwise on property, real and personal.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xxiv.</w:t>
            </w:r>
          </w:p>
        </w:tc>
        <w:tc>
          <w:tcPr>
            <w:tcW w:w="9667" w:type="dxa"/>
            <w:tcBorders/>
            <w:vAlign w:val="center"/>
          </w:tcPr>
          <w:p>
            <w:pPr>
              <w:pStyle w:val="TableContents"/>
              <w:bidi w:val="0"/>
              <w:spacing w:before="0" w:after="283"/>
              <w:jc w:val="both"/>
              <w:rPr/>
            </w:pPr>
            <w:r>
              <w:rPr/>
              <w:t>To become trustee for any purpose and be appointed and act as executor, administrator, guardian, receiver or fiduciary.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xxv.</w:t>
            </w:r>
          </w:p>
        </w:tc>
        <w:tc>
          <w:tcPr>
            <w:tcW w:w="9727" w:type="dxa"/>
            <w:tcBorders/>
            <w:vAlign w:val="center"/>
          </w:tcPr>
          <w:p>
            <w:pPr>
              <w:pStyle w:val="TableContents"/>
              <w:bidi w:val="0"/>
              <w:spacing w:before="0" w:after="283"/>
              <w:jc w:val="both"/>
              <w:rPr/>
            </w:pPr>
            <w:r>
              <w:rPr/>
              <w:t>To lease real and personal property upon specific request of a customer, provided that it complies with any applicable laws of the State of Alabama regulating leasing real property or improvements thereon to others.</w:t>
            </w:r>
          </w:p>
        </w:tc>
      </w:tr>
    </w:tbl>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50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xxvi.</w:t>
            </w:r>
          </w:p>
        </w:tc>
        <w:tc>
          <w:tcPr>
            <w:tcW w:w="6935" w:type="dxa"/>
            <w:tcBorders/>
            <w:vAlign w:val="center"/>
          </w:tcPr>
          <w:p>
            <w:pPr>
              <w:pStyle w:val="TableContents"/>
              <w:bidi w:val="0"/>
              <w:spacing w:before="0" w:after="283"/>
              <w:jc w:val="both"/>
              <w:rPr/>
            </w:pPr>
            <w:r>
              <w:rPr/>
              <w:t>To perform computer, management and travel agency services for others.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xxvii.</w:t>
            </w:r>
          </w:p>
        </w:tc>
        <w:tc>
          <w:tcPr>
            <w:tcW w:w="9607" w:type="dxa"/>
            <w:tcBorders/>
            <w:vAlign w:val="center"/>
          </w:tcPr>
          <w:p>
            <w:pPr>
              <w:pStyle w:val="TableContents"/>
              <w:bidi w:val="0"/>
              <w:spacing w:before="0" w:after="283"/>
              <w:jc w:val="both"/>
              <w:rPr/>
            </w:pPr>
            <w:r>
              <w:rPr/>
              <w:t>To subscribe to the capital stock and become a member of the Federal Reserve System and comply with rules and regulations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xxviii.</w:t>
            </w:r>
          </w:p>
        </w:tc>
        <w:tc>
          <w:tcPr>
            <w:tcW w:w="9547" w:type="dxa"/>
            <w:tcBorders/>
            <w:vAlign w:val="center"/>
          </w:tcPr>
          <w:p>
            <w:pPr>
              <w:pStyle w:val="TableContents"/>
              <w:bidi w:val="0"/>
              <w:spacing w:before="0" w:after="283"/>
              <w:jc w:val="both"/>
              <w:rPr/>
            </w:pPr>
            <w:r>
              <w:rPr/>
              <w:t>To do business and exercise directly or through operating subsidiaries any powers incident to the business of banks.</w:t>
            </w:r>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0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4760" w:type="dxa"/>
            <w:tcBorders/>
            <w:vAlign w:val="center"/>
          </w:tcPr>
          <w:p>
            <w:pPr>
              <w:pStyle w:val="TableContents"/>
              <w:bidi w:val="0"/>
              <w:spacing w:before="0" w:after="283"/>
              <w:jc w:val="both"/>
              <w:rPr/>
            </w:pPr>
            <w:r>
              <w:rPr/>
              <w:t>The duration of the corporation shall be perpetual.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5.</w:t>
            </w:r>
          </w:p>
        </w:tc>
        <w:tc>
          <w:tcPr>
            <w:tcW w:w="9989" w:type="dxa"/>
            <w:tcBorders/>
            <w:vAlign w:val="center"/>
          </w:tcPr>
          <w:p>
            <w:pPr>
              <w:pStyle w:val="TableContents"/>
              <w:bidi w:val="0"/>
              <w:spacing w:before="0" w:after="283"/>
              <w:jc w:val="both"/>
              <w:rPr/>
            </w:pPr>
            <w:r>
              <w:rPr/>
              <w:t>The Board of Directors is expressly authorized from time to time to fix the number of Directors which shall constitute the entire Board, subject to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number of Directors constituting the entire Board shall be fixed from time to time by vote of a majority of the entire Board; provided, however, that the number of Directors shall not be reduced so as to shorten the term of any Director at the time in office; provided further, that the number of Directors shall not be less than five (5) nor more than twenty-five (25). Each Director shall be the record owner of the requisite number of shares of common stock of the Bank's parent bank holding company fixed by the appropriate regulatory authorities.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Notwithstanding any other provisions of this Second Amended and Restated Certificate of Incorporation or the by-laws of the Bank (and notwithstanding the fact that some lesser percentage may be specified by law, this Second Amended and Restated Certificate of Incorporation or the by-laws of the Bank), any Director or the entire Board of Directors of the Bank may be removed at any time, with or without cause, by the affirmative vote of the holder(s) of ninety percent (90%) or more of the outstanding shares of capital stock of the Bank entitled to vote generally in the election of directors (considered for this purpose as one class) cast at a meeting of stockholders called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The aggregate number of shares of capital stock which the Bank shall have authority to issue is thirty thousand five hundred forty-six (30,546) shares, which shall be common stock, par value five dollars ($5.00) per share (the "Common Stock"). The Bank shall not issue fractional shares of stock, but shall pay in cash the fair value of fractions of a share as of the time when those otherwise entitled to receive such fractions are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Stockholders shall not have pre-emptive rights to purchase shares of any class of capital stock of the Bank. The Bank, at any time and from time to time, may authorize and issue debt obligations, whether or not subordinated, without the approval of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Authority is hereby expressly granted to the Board of Directors from time to time to issue any authorized but unissued shares of Common Stock for such consideration and on such terms as it may determine. Every share of Common Stock of the Bank shall have one vote at any meeting of stockholders and may be voted by the stockholders of record either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In the event of any liquidation, dissolution or winding up of the Bank, or upon the distribution of the assets of the Bank, the assets of the Bank remaining after satisfaction of all obligations and liabilities shall be divided and distributed ratably among the holders of the Common Stock. Neither the merger nor the consolidation of the Bank with another corporation, nor the sale or lease of all or substantially all of the assets of the Bank, shall be deemed to be a liquidation, dissolution or winding up of the Bank or a distribution of its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7.</w:t>
            </w:r>
          </w:p>
        </w:tc>
        <w:tc>
          <w:tcPr>
            <w:tcW w:w="10020" w:type="dxa"/>
            <w:tcBorders/>
            <w:vAlign w:val="center"/>
          </w:tcPr>
          <w:p>
            <w:pPr>
              <w:pStyle w:val="TableContents"/>
              <w:bidi w:val="0"/>
              <w:spacing w:before="0" w:after="283"/>
              <w:jc w:val="both"/>
              <w:rPr/>
            </w:pPr>
            <w:r>
              <w:rPr/>
              <w:t>The Chief Executive Officer, Secretary, Board of Directors or holder(s) of at least 90% of the issued and outstanding voting stock of the Bank may call a special meeting of stockholders at any time. The Bank shall notify stockholders of the place, if any, date and time of each annual and special meeting of stockholders no fewer than ten (10) nor more than sixty (60) days before the meeting date, such notice to be delivered to each stockholder of record at the address as shown upon the stock transfer book of the Bank. Notice of a special meeting of stockholders shall include a description of the purpose or purposes for which the meeting is called.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283"/>
              <w:jc w:val="both"/>
              <w:rPr/>
            </w:pPr>
            <w:r>
              <w:rPr/>
              <w:t>The Bank reserves the right to amend, alter, change or repeal any provision contained in this Second Amended and Restated Certificate of Incorporation, in the manner now or hereafter provided by law, at any regular or special meeting of stockholders, and all rights conferred upon officers, directors and stockholders of the Bank hereby are granted subject to this reservation.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both"/>
              <w:rPr/>
            </w:pPr>
            <w:r>
              <w:rPr/>
              <w:t>The Bank shall indemnify its officers, directors, employees and agents in accordance with the indemnification provisions set forth in the by-laws of the Bank, as may be amended from time to time, and in all cases in accordance with applicable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10.</w:t>
            </w:r>
          </w:p>
        </w:tc>
        <w:tc>
          <w:tcPr>
            <w:tcW w:w="9896" w:type="dxa"/>
            <w:tcBorders/>
            <w:vAlign w:val="center"/>
          </w:tcPr>
          <w:p>
            <w:pPr>
              <w:pStyle w:val="TableContents"/>
              <w:bidi w:val="0"/>
              <w:spacing w:before="0" w:after="283"/>
              <w:jc w:val="both"/>
              <w:rPr/>
            </w:pPr>
            <w:r>
              <w:rPr/>
              <w:t>To the extent not inconsistent with the provisions of the Banking Code or the rules, regulations or orders of the Superintendent of the Alabama State Banking Department, and pursuant to Section 10A-2A-17.01 of the ABCL, the Bank hereby elects to be governed by the provisions of the ABCL, and all references in this Second Amended and Restated Certificate of Incorporation to the ABCL shall mean the Alabama Business Corporation Law of 2019.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certifies that, in accordance with applicable law, this Second Amended and Restated Certificate of Incorporation has been adopted by the Bank as of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2020.</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320"/>
        <w:gridCol w:w="8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Hope D. Mehlman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Hope D. Mehlman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Secretary, Chief Governance Officer, and Deputy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ALABAMA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MONTGOMERY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Mike Hill, as Superintendent of Banks for the State of Alabama, do hereby certify that I have fully and duly examined the foregoing Second Amended and Restated Certificate of Incorporation whereby the shareholder of Regions Bank, a banking corporation located at Birmingham, Alabama, proposes to Amend and Restate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 Articles of Amendment which Amend and Restate the Certificate of Incorporation of Regions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 hereby certify that said Second Amended and Restated Certificate of Incorporation appear to be in substantial conformity with the requirements of law and they are hereby approved. Upon the filing of the same, together with this Certificate of Approval, with the proper agency as required by law, the Second Amended and Restated Certificate of Incorporation of said bank shall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and seal of office this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August, 2020.</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320"/>
        <w:gridCol w:w="2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Mike Hill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Hill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Superintendent of Banks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 OF</w:t>
        <w:br/>
        <w:t>REGIONS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21,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Registered Office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Regions Bank (the “Bank”) shall be maintained at the office of the Corporation Service Company, Inc., in the City of Montgomery, in the County of Montgomery, in the State of Alabama, or such other location as may be designated by the Board of Directors. Corporation Service Company, Inc. shall be the registered agent of the Bank unless and until a successor registered agent is appointed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Other Offices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may have other offices at such places as the Board of Directors may from time to time appoint or the business of the Bank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Principal Place of Business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of the Bank shall be in Birmingham, Alabama.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Annual Meeting</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meetings of stockholders for the election of members of the Board of Directors (“Directors”) and for such other business as the Board of Directors may determine, shall be held at such place, time and date as the Board of Directors, by resolution,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Special Meetings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Secretary, Board of Directors or holder(s) of at least ninety percent (90%) of the issued and outstanding voting stock of the Bank may call a special meeting of stockholders at any time. Special meetings of stockholders may be held at such place, time and date as shall be stated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Voting</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of a majority of the votes cast by the shares entitled to vote on any matter at a meeting of stockholders at which a quorum is present shall be the act of the stockholders on that matter, except as otherwise required by law or by the Certificate of Incorporation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Quorum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meeting of stockholders, except where otherwise provided by applicable law, the Certificate of Incorporation or these By-Laws, the holders of a majority of the outstanding shares of the Bank entitled to vote on a matter at the meeting, represented in person or by proxy, shall constitute a quorum. If less than a majority of the outstanding shares are represented, a majority of the shares so represented may adjourn the meeting from time to time without further notice, but until a quorum is secured no other business may be transacted. The stockholders present at a duly organized meeting may continue to transact business until an adjournment notwithstanding the withdrawal of enough stockholders to leave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Notice of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or printed notice stating the place, day and time of the meeting and, in case of a special meeting of stockholders, the purpose or purposes of the meeting, shall be delivered not less than ten (10) nor more than sixty (60) days before the date of the meeting to each stockholder of record entitled to vote at such meeting. The notice shall also include the record date for determining the stockholders entitled to vote at the meeting, if that date is different from the record date for determining stockholders entitled to notice of the meeting. Such notice may be communicated in person, by telephone, teletype, telecopier, facsimile transmission or other form of electronic communication, or by mail or private carrier. The notice shall be deemed to have been delivered (i) if mailed postage prepaid and correctly addressed to a stockholder, upon deposit in the United States mail; (ii) if mailed by United States mail postage prepaid and correctly addressed to a recipient other than a stockholder, the earliest of when it is actually received or (A) if sent by registered or certified mail, return receipt requested, the date shown on the return receipt signed by or on behalf of the addressee or (B) five (5) days after it is deposited in the United States mail; or (iii) if an electronic transmission, when (A) it enters an information processing system that the recipient has designated or uses for the purposes of receiving electronic transmissions or information of the type sent, and from which the recipient is able to retrieve the electronic transmission and (B) it is in a form capable of being processed by that system. The attendance of a stockholder at a meeting shall constitute a waiver of lack of notice or defective notice of such meeting, unless the stockholder expresses such objection at the beginning of the meeting, and shall constitute a waiver of any objection to the consideration of a particular matter that is not within the purpose or purposes described in the notice, unless the stockholder objects to considering the matter before action is taken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Informal Action by Stockholders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at any meeting of stockholders may be taken without a meeting, and without prior notice, if one or more consents in writing setting forth the action so taken are signed by the holders of outstanding stock having not less than the minimum number of votes that would be required to authorize or take the action at a meeting at which all shares of stock entitled to vote on the action were present and voted. The action must be evidenced by one or more written consents describing the action taken, signed by the stockholders approving the action and delivered to the Bank for filing by the Bank with the minutes or corporate records. No written consent shall be effective to take the corporate action referred to therein unless, within sixty (60) days of the earliest date on which a consent is delivered to the Bank as required by this section, written consents signed by sufficient stockholders to take the action have been delivered to the Bank. A written consent may be revoked by a writing to that effect delivered to the Bank before unrevoked written consents sufficient in number to take the corporate action have been delivered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consent signed pursuant to the provisions of this section has the effect of a vote taken at a meeting and may be described as such in any document. The action taken by written consent shall be effective when written consents signed by sufficient stockholders to take the action have been delivered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action is taken by less than unanimous written consent of the stockholders, the Bank shall give its nonconsenting stockholders written notice of the action not more than ten (10) days after written consents sufficient to take the action have been delivered to the Bank. The notice must reasonably describe the action taken and contain or be accompanied by the same material that would have been required to be sent to stockholders in a notice of a meeting at which the action would have been submitted to the stockholders for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Number and Term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Directors that shall constitute the whole Board of Directors shall be fixed, from time to time, by resolutions adopted by the Board of Directors, but shall not be less than five (5) persons or more than twenty-five (25) persons. The number of Directors shall not be reduced so as to shorten the term of any Director in office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elected at each annual or special meeting or appointed pursuant to Article III, Section 4 of these By-Laws shall hold office until the next annual meeting and until his or her successor shall have been elected and qualified, or until his or her earlier retirement, death, resignation or removal. Directors need not be residents of Alabama.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Chair of the Board and Lead Independent Director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by majority vote designate from time to time from among its members a Chair of the Board of Directors. The Chair of the Board of Directors shall preside at all meetings of the stockholders and of the Board of Directors. He or she shall have and perform such duties as prescribed by these By-Laws and by the Board of Directors. The position of Chair of the Board of Directors is a Board position; provided, however, the position of Chair of the Board of Directors may be held by a person who is also an officer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the Chair of the Board of Directors, or in the case he or she is unable to preside, the Lead Independent Director, if at the time a Director of the Bank has been designated by the Board of Directors as such, shall have and exercise all powers and duties of the Chair of the Board of Directors and shall preside at all meetings of the Board of Directors. If at any Board of Directors meeting neither of such persons is present or able to act, the Board of Directors shall select one of its members as acting chair of the meeting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Resignations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resign at any time. All resignations shall be made in writing, and shall take effect at the time of receipt by the Chair of the Board of Directors, Chief Executive Officer, President or Secretary or at such other time as may be specified therein. The acceptance of a resignation shall not be necessary to make it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Vacancies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office of any Director becomes vacant, including by reason of resignation or removal, or the size of the Board of Directors is increased, the remaining Directors in office, even if less than a quorum, by a majority vote, may appoint any qualified person to fill such vacancy or new position, and such person shall hold office for the unexpired term and until his or her successor shall be duly chosen.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Removal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be removed at any time, with or without cause, by the affirmative vote of the holders of ninety percent (90%) or more of the outstanding shares of capital stock of the Bank entitled to vote generally in the election of directors (considered for this purpose as one class) cast at a meeting of stockholders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Powers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affairs of the Bank shall be managed by or under the direction of the Board of Directors, except as may be otherwise provided by applicable law, the Certificate of Incorporation of the Bank or pursuant to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Meetings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Regular meetings of the Board of Directors may be held without notice at such places and times as shall be determined from time to time by the Board of Directors; provided, however, that such regular meetings shall be held at intervals in compliance with the Alabama Banking Code, Section 5-1A-1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of the Code of Alabama 1975, as amended (together with any act amendatory thereof, supplementary thereto or substituted therefor, hereinafter referred to as the “Banking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of Directors may be called by the Chair of the Board of Directors, Lead Independent Director, Chief Executive Officer or President, or Secretary on the request of any two members of the Board of Directors, on at least two (2) days’ notice to each Director and shall be held at such place or places as may be determined by the Board of Directors, or as shall be stated in the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video or similar communications equipment by means of which all persons participating in the meeting can hear each other, and such participation in a meeting shall constitute presence in person at the meeting. Notice of any special meeting of the Board of Directors need not be given personally, and may be given by United States mail, postage prepaid or by any form of electronic communication, and shall be deemed to have been given on the date such notice is transmitted by the Bank (which, if notice is mailed, shall be the date when such notice is deposited in the United States mail, postage prepaid, directed to the applicable Director at such Director’s address as it appears on the records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Quorum; Vote Required for Action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a majority of the Directors present at a meeting at which a quorum is present shall be the act of the Board of Directors unless the Certificate of Incorporation or these By-Laws shall require a vote of a greater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Compensation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the Board of Directors shall have the authority to fix the compensation of Directors. Nothing herein contained shall be construed to preclude any Director from serving the Bank in any other capacity as an officer, agent or otherwise, and receiving compensation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Action Without Meeting</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at any meeting of the Board of Directors, or of any committee thereof, may be taken without a meeting, if prior to such action a written consent thereto is signed by all members of the Board of Directors, or of such committee as the case may be, and such written consent is filed with the minutes of proceedings of the Board of Directors or committee. Action taken under this section is the act of the Board of Directors when one or more consents signed by all of the Directors are delivered to the Bank. The consent may specify a later time as the time at which the action taken is to be effective. A Director’s consent may be withdrawn by a revocation signed by the Director and delivered to the Bank before delivery to the Bank of unrevoked written consents signed by all of the Directors. A consent signed under this section has the effect of action taken at a meeting of the Board of Directors and may be described as such in any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Committees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Board of Directors shall have the authority to designate one or more committees, each committee to consist of one or more of the Directors of the Bank. The Board of Directors may designate one or more Directors as alternate members of any committee, who may replace any absent or disqualified member at any meeting of the committee. Any committee of the Board of Directors, to the extent provided in the resolutions of the Board of Directors or in these By-Laws, shall have and may exercise the powers of the Board of Directors in the management of the business and affairs of the Bank and may authorize the seal of the Bank to be affixed to all papers that may require it, in each case to the fullest extent permitted by applicable law. In the absence or disqualification of any member of a committee from voting at any meeting of such committee, the remaining member or members thereof present at such meeting and not disqualified from voting, whether or not the remaining member or members constitute a quorum, may unanimously appoint another member of the Board of Directors to act at such meeting in the place of any such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Eligibility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eligible to serve as Director of the Bank unless such person shall be the owner of shares of stock of the parent holding company of the number and held in the manner sufficient to meet the requirements of any applicable law or regulation in effect requiring the ownership of Directors’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Directors Protected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Alabama Business Corporation Law, Chapter 2A of Title 10A of the Code of Alabama (1975), or any statute amendatory or supplemental thereof (the “Corporation Law”) and specifically Section 10A-2A-8.30, each Director shall, in the performance of his or her duties, be fully protected in relying in good faith upon information, opinions, reports or statements, including financial statements and other financial data, made to the Directors by the officers or employees of the Bank; legal counsel, public accountants, certified public accountants or other persons as to matters the Director reasonably believes are within the person’s professional or expert competence; or a committee of the Board of Directors of which he or she is not a member if the Director reasonably believes the committee merits confidence, or in relying in good faith upon other records or books of account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Officers, Elections, Terms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Bank shall be a Chief Executive Officer; a President; one or more vice presidents or directors (referring in this context to service in an officer capacity), who may be designated Senior Executive Vice Presidents, Executive Vice Presidents, Executive Managing Directors, Senior Vice Presidents, Managing Directors, Vice Presidents, Directors, and Assistant Vice Presidents; a Secretary; one or more Assistant Secretaries; a Chief Financial Officer; a Controller; an Auditor; and such other officers as may be deemed appropriate. All of such officers shall be appointed annually by the Board of Directors to serve for a term of one (1) year and until their respective successors are appointed and qualified or until such officer’s earlier death, resignation, retirement or removal, except that the Board of Directors may delegate the authority to appoint officers holding the position of Senior Executive Vice President and below in accordance with procedures established or modified by the Board from time to time. None of the officers of the Bank need be Directors. More than one office may be held by the same person. The conduct of the business and affairs of the Bank by the officers shall be subject to the oversight of the Board of Directors and of any committee of the Board of Directors having authority over the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Chief Executive Officer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appoint a Chief Executive Officer of the Bank. The Chief Executive Officer is the most senior executive officer of the Bank, and shall be vested with authority to act for the Bank in all matters and shall have general supervision of the Bank and of its business affairs, including authority over the detailed operations of the Bank and over its personnel, with full power and authority during intervals between sessions of the Board of Directors to do and perform in the name of the Bank all acts and deeds necessary or proper, in his or her opinion, to be done and performed and to execute for and in the name of the Bank all instruments, agreements and deeds that may be authorized to be executed on behalf of the Bank or may be required by law. The Chief Executive Officer may, but need not, also hold the office of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President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shall have, and may exercise, the authority to act for the Bank in all ordinary matters and perform other such duties as directed by the By-Laws, the Board of Directors or the Chief Executive Officer. Among the officers of the Bank, the President is subordinate to only the Chief Executive Officer and is senior to the other officers of the Bank. The authority of the President shall include authority over the detailed operations of the Bank and over its personnel with full power and authority during intervals between sessions of the Board of Directors to do and perform in the name of the Bank all acts and deeds necessary or proper, in his or her opinion, to be done and performed and to execute for and in the name of the Bank all instruments, agreements and deeds that may be authorized to be executed on behalf of the Bank or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Vice Presidents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vice presidents or directors, who may be designated as Senior Executive Vice Presidents, Executive Vice Presidents, Executive Managing Directors, Senior Vice Presidents, Managing Directors, Vice Presidents, Directors, and Assistant Vice Presidents, shall, subject to the control of the Chief Executive Officer or the President, have and may exercise the authority vested in them in all proper matters, including authority over the detailed operations of the Bank and over its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Chief Financial Officer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or his or her designee, shall have and perform such duties as are incident to the office of Chief Financial Officer and such other duties as may from time to time be assigned to him or her by the Board of Directors, the Chief Executive Officer or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Secretary and Assistant Secretary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shall keep minutes of all meetings of the stockholders and the Board of Directors unless otherwise directed by either of those bodies. The Secretary, or in his or her absence, any Assistant Secretary, shall attend to the giving and serving of all notices of the Bank. The Secretary shall perform all of the duties incident to the office of Secretary and shall do and perform such other duties as may from time to time be assigned by the Board of Directors, the Chair of the Board of Directors, the Chief Executive Officer or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Controller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Controller shall, under the direction of the Chief Executive Officer, the President, the Chief Financial Officer or other more senior officer, have general supervision and authority over all reports required of the Bank by law or by any public body or officer or regulatory authority pertaining to the condition of the Bank and its assets and liabilities. The Controller shall have general supervision of the books and accounts of the Bank and its methods and systems of recording and keeping accounts of its business transactions and of its assets and liabilities. The Controller shall be responsible for preparing statements showing the financial condition of the Bank and shall furnish such reports and financial records as may be required of him or her by the Board of Directors or by the Chief Executive Officer, the President, the Chief Financial Officer or other more senior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Auditor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office may be filled by an employee of the Bank or his or her duties may be performed by an employee or committee of the parent company of the Bank. The Auditor shall have general supervision of the auditing of the books and accounts of the Bank, and shall continuously and from time to time check and verify the Bank’s transactions, its assets and liabilities, and the accounts and doings of the officers, agents and employees of the Bank with respect thereto. The Auditor, whether an employee of the Bank or of its parent, shall be directly accountable to and under the jurisdiction of the Board of Directors and, if applicable, its designated committee, acting independently of all officers, agents and employees of the Bank. The Auditor shall render reports covering matters in his or her charge regularly and upon request to the Board and, if applicable, its designated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Other Officers and Agents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appoint such other officers and agents as it may deem advisable, such as General Counsel, who shall exercise such powers and perform such duties as shall be determined from time to time by the Board of Directors. The functions of a cashier of the Bank may be performed by the Controller or any other officer of the Bank whose area of responsibility includes the function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Management Policymaking Committee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of Regions Financial Corporation, the Chief Executive Officer shall establish and name (and may rename from time to time) an executive management committee to develop, publish and implement policies and procedures for the operation of Regions Financial Corporation and its subsidiaries and affiliates, including the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Officer in Charge of Wealth Management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in charge of Wealth Management shall be designated as such by the Board of Directors and shall exercise general supervision and management over the affairs of Private Wealth Management, Institutional Services and Wealth Management Middle Office, which groups are responsible for exercise of the Bank’s trust powers. Such officer is hereby empowered to appoint all necessary agents or attorneys; also to make, execute and acknowledge all checks, bonds, certificates, deeds, mortgages, notes, releases, leases, agreements, contracts, bills of sale, assignments, transfers, powers of attorney or of substitution, proxies to vote stock, or any other instrument in writing that may be necessary in the purchase, sale, mortgage, lease, assignment, transfer, management or handling, in any way of any property of any description held or controlled by the Bank in any fiduciary capacity. Said officer shall have such other duties and powers as shall be designated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Other Officers in Private Wealth Management, Institutional Services and Wealth Management Middle Office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in charge of Wealth Management shall appoint officers responsible for the activities of Private Wealth Management, Institutional Services and Wealth Management Middle Office. Various other officers as designated by the officers responsible for the activities of Private Wealth Management, Institutional Services and Wealth Management Middle Office are empowered and authorized to make, execute and acknowledge all checks, bonds, certificates, deeds, mortgages, notes, releases, leases, agreements, contracts, bills of sale, assignments, transfers, powers of attorney or substitution, proxies to vote stock or any other instrument in writing that may be necessary to the purchase, sale, mortgage, lease, assignments, transfer, management or handling in any way, of any property of any description held or controlled by the Bank in any fiduciary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Removal and Resignation of Officers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pleasure, the Board of Directors may remove any officer from office at any time by a majority vote of the Board of Directors; provided, however, that the terms of any employment or compensation contract shall be honored according to its terms. An individual’s status as an officer will terminate without the necessity of any other action or ratification immediately upon termination for any reason of the individual’s employment by the Bank. Any officer may resign at any time by delivering notice (whether written or verbal) to the Bank. Such resignation shall be effective immediately unless the notice of resignation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Certificates of Stock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of stock of the Bank shall be signed by the President and the Secretary of the Bank, which signatures may be represented by a facsimile signature. The certificate may be sealed with the seal of the Bank or an engraved or printed facsimile thereof. The certificate represents the number of shares of stock registered in certificate form owned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Lost Certificates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loss or destruction of any certificate of stock, the holder or owner of same shall give notice thereof to the Chief Executive Officer, the President, any Senior Executive Vice President or the Secretary of the Bank and, if such holder or owner shall desire the issue of a new certificate in the place of the one lost or destroyed, he or she shall make an affidavit of such loss or destruction and deliver the same to any one of said officers and accompany the same with a bond with surety satisfactory to the Bank to indemnify the Bank and save it harmless against any loss, cost or damage in case such certificate should thereafter be presented to the Bank, which affidavit and bond shall be, at the discretion of the deciding party listed in this Section 2, unless so ordered by a court having jurisdiction over the matter, approved or rejected by the Board of Directors, the Chief Executive Officer, the President or a Senior Executive Vice President before the issue of any new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Transfer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 certificate and to the shares represented thereby can be transferred only by delivery of the certificate endorsed either in blank or to a specified person by the person appearing by the certificate to be the owner of the shares represented thereby, or by delivery of the certificate and a separate document containing a written assignment of the certificate or a power of attorney to sell, assign or transfer the same or the shares represented thereby, signed by the person appearing by the certificate to be the owner of the shares represented thereby. Such assignment or power of attorney may be either in blank or to a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Fractional Shares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part of a share of stock shall be issued by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Stockholders Record Date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Bank may determine the stockholders entitled to notice of or to vote at any meeting of stockholders or any adjournment thereof, or entitled to receive any rights in respect of any change, conversion or exchange of stock or for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adjournment of the meeting; provided, however, that the Board of Directors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Dividends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Certificate of Incorporation, at any regular or special meeting the Board of Directors may, out of funds legally available therefor, declare dividends upon the capital stock of the Bank as and when it deems expedient. Before declaring any dividend, there may be set apart out of any fund of the Bank available for dividends, such sum or sums as the Directors, from time to time in their discretion, deem proper for working capital; as a reserve fund to meet contingencies; for equalizing dividends; or for such other purposes as the Directors shall deem conducive to the interests of the Bank. No dividends shall be declared that exceed the amounts authorized by applicable laws and regulations or are otherwise contrary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Seal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may have a corporate seal, which shall have the name of the Bank inscribed thereon and shall be in such form as prescribed by the Board of Directors from time to time. The seal may also include appropriate descriptors, such as the words: “An Alabama Banking Corporation.” The Secretary of the Bank shall have custody of the seal and is authorized to affix the same to instruments, documents and papers as required by law or as customary or appropriate in the Secretary’s judgment and discretion. Without limiting the general authority of the Board of Directors of the Bank to name, appoint, remove and define the duties of officers of the Bank, the Secretary is further authorized to cause reproductions of the seal to be made, distributed to and used by officers and employees of the Bank whose duties and responsibilities involve the execution and delivery of instruments, documents and papers bearing the seal of the Bank. In this regard, the Secretary is further authorized to establish, implement, interpret and enforce policies and procedures governing the use of the seal and the authorization by the Secretary of officers and employees of the Bank to have custody of and to use the seal. Such policies and procedures may include (i) the right of the Secretary to appoint any Bank employee as an Assistant Secretary of the Bank, if such appointment would, in the Secretary’s judgment, be convenient with respect to such employee’s custody and use of a seal and/or (ii) the right of the Secretary to authorize Bank employees to have and use seals as delegates of the Secretary without appointing such employees as Assistant Secretaries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Fiscal Year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Bank shall be the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Checks, Drafts, Transfers, Services, etc</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the President, any vice president or director, any Assistant Vice President, any Branch Manager, any Financial Relationship Specialist, any Financial Relationship Consultant or any other employee designated by the Board of Directors is authorized and empowered on behalf of the Bank and in its name to sign and endorse checks and warrants; to execute and deliver any and all documents that are necessary or desirable in connection with the opening of customer deposit accounts with the Bank, including, without limitation, documents associated with establishing treasury management services in connection with deposit accounts; documents requested or required by a third party in connection with the opening or rollover of individual retirement accounts to the Bank or otherwise; draw drafts; issue and sign cashier’s checks; guarantee signatures; give receipts for money due and payable to the Bank; and sign such other papers and do such other acts as are necessary in the performance of his or her duties. The authority conveyed to any employee designated by the Board of Directors may be limited by general or specific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Notice and Waiver of Notice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whatever is required to be given under the provisions of any law or under the provisions of the Certificate of Incorporation of the Bank or these By-Laws, a waiver thereof in writing, signed by the person or persons entitled to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business at the meeting because the meeting is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Right of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 extent provided for and in accordance with the Corporation Law, and specifically Section 10A-2A-8.50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the Bank shall indemnify and hold harmless each Director and each officer now or hereafter serving the Bank against any loss and reasonable expenses actually and necessarily incurred by him or her in connection with the defense of any claim, or any action, suit or proceeding against him or her or in which he or she is made a party, by reason of him or her being or having been a Director or officer of the Bank, or who, while a Director or officer of the Bank, is or was serving at the Bank’s request as a director, officer, partner, trustee, employee or agent of another foreign or domestic corporation, partnership, joint venture, trust, employee benefit plan or other enterprise. Such right of indemnity shall not be deemed exclusive of any other rights to which such Director or officer may be entitled under any statute, article of incorporation, rule of law, other bylaw, agreement, vote of stockholders or directors, or otherwise. Nor shall anything herein contained restrict the right of the Bank to indemnify or reimburse any officer or Director in any proper case even though not specifically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Bank shall not make or agree to make any indemnification payment to a Director or officer or any other institution-affiliated party (as such term is defined in 12 CFR § 359.1) with respect to (i) any civil money penalty or judgment resulting from any administrative or civil action instituted by any federal banking agency, except in full compliance with 12 CFR Part 359, (ii) any assessment, order of restitution, penalty or similar liability imposed under authority of the Banking Code, or (iii) any liability for violation of Section 10A-2A-8.32 of the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final disposition, the Bank may, but is not required to, pay for or reimburse the reasonable expenses incurred by a person who may become eligible for indemnification under this Article V, Section 11, provided the conditions set forth in Section 10A-2A-8.53 of the Corporation Law (and, if applicable, 12 CFR § 359.5)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may purchase and maintain insurance on behalf of said Directors or officers against liability asserted against or incurred by a Director or officer acting in such capacity as described in these By-Laws. Such insurance coverage shall not be used to pay or reimburse a person for the cost of (i) any judgment or civil money penalty assessed against such person in an administrative proceeding or civil action commenced by any federal banking agency or (ii) any assessment or penalty imposed under authority of the Banking Code. Such insurance coverage may be used to pay any legal or professional expenses incurred in connection with such proceeding or action or the amount of any restitution to the Bank. Any insurance coverage of legal or professional expenses will be coordinated with the Bank’s determination whether to advance expenses in advance of final disposition, taking into account the terms and conditions of the coverage and the requirements of Section 10A-2A-8.53 of the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Execution of Instruments and Documents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the President; any Senior Executive Vice President, Executive Vice President, Senior Vice President or Vice President; or any officer holding the title of Executive Managing Director, Managing Director or Director is authorized, in his or her discretion, to do and perform any and all corporate and official acts in carrying on the business of the Bank, including, but not limited to, the authority to make, execute, acknowledge, accept and deliver any and all deeds, mortgages, releases, bills of sale, assignments, transfers, leases (as lessor or lessee), powers of attorney or of substitution, servicing or sub-servicing agreements, vendor agreements, contracts, proxies to vote stock or any other instrument in writing that may be necessary in the purchase, sale, lease, assignment, transfer, discount, management or handling in any way of any property of any description held, controlled or used by Bank or to be held, controlled or used by Bank, either in its own or in its fiduciary capacity and including the authority from time to time to open bank accounts with the Bank or any other institution; to borrow money in such amounts for such lengths of time, at such rates of interest and upon such terms and conditions as any said officer may deem proper and to evidence the indebtedness thereby created by executing and delivering in the name of the Bank promissory notes or other appropriate evidences of indebtedness; and to guarantee the obligations of any subsidiary or affiliate of the Bank. The enumeration herein of particular powers shall not restrict in any way the general powers and authority of said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way of example and not limitation, such officers of the Bank are authorized to execute, accept, deliver and issue, on behalf of the Bank and as binding obligations of the Bank, such agreements and instruments as may be within the officer’s area of responsibility, including, as applicable, agreements and related documents (such as schedules, confirmations, transfers, assignments, acknowledgments and other documents) relating to derivative transactions, loan or letter of credit transactions, syndications, participations, trades, purchase and sale or discount transactions, transfers and assignments, servicing and sub-servicing agreements, vendor agreements, contracts, securitizations and transactions of whatever kind or description arising in the conduct of the Bank’s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to execute and deliver documents, instruments and agreements may be limited by resolution of the Board of Directors or a committee of the Board of Directors, by the Chief Executive Officer or by the President, by reference to subject matter, category, amount, geographical location or any other criteria and may be made subject to such policies, procedures and levels of approval as may be adopted or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Voting Bank’s Securities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ordered by the Board of Directors, the Chief Executive Officer, the President, any Executive Vice President or Executive Managing Director or above, the Controller, the Bank’s General Counsel and any other officer as may be designated by the Board of Directors shall have full power and authority on behalf of the Bank (i) to attend and to act and vote or (ii) to execute a proxy or proxies empowering others to attend and to act and vote, at any meetings of security holders of any of the corporations, partnerships, limited liability companies or other entities in which the Bank may hold securities and, at such meetings, such officer shall possess and may exercise any and all rights and powers incident to the ownership of such securities which, as the owner thereof, the Bank might have possessed and exercised, if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w:t>
      </w:r>
      <w:r>
        <w:rPr>
          <w:rFonts w:ascii="Times New Roman;Times;Serif" w:hAnsi="Times New Roman;Times;Serif"/>
          <w:b/>
          <w:i w:val="false"/>
          <w:caps w:val="false"/>
          <w:smallCaps w:val="false"/>
          <w:sz w:val="20"/>
          <w:u w:val="single"/>
        </w:rPr>
        <w:t>Bonds of Officers and Employees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pursuant to the Banking Code, designate the officers and employees who shall be required to give bond and fix the amounts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w:t>
      </w:r>
      <w:r>
        <w:rPr>
          <w:rFonts w:ascii="Times New Roman;Times;Serif" w:hAnsi="Times New Roman;Times;Serif"/>
          <w:b/>
          <w:i w:val="false"/>
          <w:caps w:val="false"/>
          <w:smallCaps w:val="false"/>
          <w:sz w:val="20"/>
          <w:u w:val="single"/>
        </w:rPr>
        <w:t>Satisfaction of Loans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payment of sums lent, for which security shall have been taken either by way of mortgage or other lien on real or personal property or by the pledge of collateral, whether said loans have been made from funds of the Bank or from funds held in fiduciary capacity, any officer of the Bank shall have the power and authority to sign or execute any and all collateral release documents that may be necessary or desirable for the purpose of releasing property or property rights held by the Bank as collateral for obligations to the Bank that are paid in full or otherwise satisfied or settled and enter the fact of payment or satisfaction on the margin of the record of any such security or in any other legal manner to cancel such indebtedness and to release said security, and the Chief Executive Officer, the President or any Vice President or Director of the Bank shall have power and authority to execute a power of attorney authorizing the cancellation, release or satisfaction of any mortgage or other security given to the Bank in its corporate or fiduciary capacity, by such person as he or she may in his or her discretion appoint.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or in the Certificate of Incorporation of the Bank, these By-Laws may be amended or repealed by the affirmative vote of a majority of the Directors then holding office at any regular or special meeting of the Board of Directors, and the stockholders may make, alter or repeal any By-Laws, whether or not adopted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EMERGENCY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Emergency By-Laws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VII shall be operative if a quorum of the Bank’s Directors cannot readily be assembled because of some catastrophic event (an “emergency”), notwithstanding any different or conflicting provisions in these By-Laws, the Certificate of Incorporation or the Code of Alabama. To the extent not inconsistent with the provisions of this Article VII, the By-Laws provided in the other Articles of these By-Laws and the provisions of the Certificate of Incorporation shall remain in effect during such emergency, and upon termination of such emergency, the provisions of this Article VII shall cease to be operative.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Meetings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emergency, a meeting of the Board of Directors, or any committee thereof, may be called by any member of the Board of Directors, the President, a Senior Executive Vice President, the Secretary or an Assistant Secretary. Notice of the time and place of the meeting shall be given by any available means of communication by the individual calling the meeting to such of the Directors and/or Designated Officers, as defined in Section 3 of this Article VII, as it may be feasible to reach. Such notice shall be given at such time in advance of the meeting as, in the judgment of the individual calling the meeting, circumstances permit. As a result of such emergency, the Board of Directors may determine that a meeting of stockholders not be held at any place, but instead be held solely by means of remote communication in accordance with the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Quorum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the Board, or any committee thereof, called in accordance with Section 2 of this Article VII, the presence or participation of two Directors or one Director and a Designated Officer shall constitute a quorum for the transaction of business. In the event that no Directors are able to attend the meeting of the Board of Directors, then the Designated Officers in attendance shall serve as directors for the meeting, without any additional quorum requirement and will have full powers to act as directors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the committees thereof, as the case may be, shall, from time to time but in any event prior to such time or times as an emergency may have occurred, designate the officers of the Bank in a numbered list (the “Designated Officers”) who shall be deemed, in the order in which they appear on such list, directors of the Bank for purposes of obtaining a quorum during an emergency, if a quorum of Directors cannot otherwise be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By-Laws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called in accordance with Section 2 of this Article VII, the Board of Directors or a committee thereof, as the case may be, may modify, amend or add to the provisions of this Article VII so as to make any provision that may be practical or necessary for the circumstances of the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Liability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officer, Director or employee of the Bank acting in accordance with the provisions of this Article VII shall be liable except for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Repeal or Change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VII shall be subject to repeal or change by further action of the Board of Directors or by action of the stockholders, but no such repeal or change shall modify the provisions of Section 5 of this Article VII with regard to action taken prior to the time of such repeal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Continued Operations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emergency declared by the President of the United States or the person performing his or her functions, the officers and employees of the Bank will continue to conduct the affairs of the Bank under such guidance from the Directors as may be available except as to matters which by statute require specific approval of the Board of Directors and subject to conformance with any governmental directives or directives of the Federal Deposit Insurance Corporation during the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 (b) of the Trust Indenture Act of 1939, Regions Bank hereby consents that reports of examination of Regions Bank by Federal, State, Territorial or District regulatory authorities may be furnished by such regulatory authorities to the Securities and Exchange Commission upon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7, 2026</w:t>
      </w:r>
    </w:p>
    <w:p>
      <w:pPr>
        <w:pStyle w:val="TextBody"/>
        <w:bidi w:val="0"/>
        <w:spacing w:before="0" w:after="0"/>
        <w:ind w:left="0" w:right="0" w:hanging="0"/>
        <w:jc w:val="left"/>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75"/>
        <w:gridCol w:w="1445"/>
      </w:tblGrid>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Kristine Prall</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Kristine Prall</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Report of Condition for Insured Banks and Savings Associations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March 31, 2026:</w:t>
      </w:r>
    </w:p>
    <w:p>
      <w:pPr>
        <w:pStyle w:val="TextBody"/>
        <w:bidi w:val="0"/>
        <w:spacing w:before="0" w:after="0"/>
        <w:ind w:left="0" w:right="0" w:hanging="0"/>
        <w:jc w:val="left"/>
        <w:rPr>
          <w:caps w:val="false"/>
          <w:smallCaps w:val="false"/>
        </w:rPr>
      </w:pPr>
      <w:r>
        <w:rPr>
          <w:caps w:val="false"/>
          <w:smallCaps w:val="false"/>
        </w:rPr>
        <w:t> </w:t>
      </w:r>
    </w:p>
    <w:tbl>
      <w:tblPr>
        <w:tblW w:w="7239" w:type="dxa"/>
        <w:jc w:val="left"/>
        <w:tblInd w:w="0" w:type="dxa"/>
        <w:tblLayout w:type="fixed"/>
        <w:tblCellMar>
          <w:top w:w="0" w:type="dxa"/>
          <w:left w:w="0" w:type="dxa"/>
          <w:bottom w:w="28" w:type="dxa"/>
          <w:right w:w="0" w:type="dxa"/>
        </w:tblCellMar>
      </w:tblPr>
      <w:tblGrid>
        <w:gridCol w:w="5960"/>
        <w:gridCol w:w="60"/>
        <w:gridCol w:w="61"/>
        <w:gridCol w:w="1083"/>
        <w:gridCol w:w="75"/>
      </w:tblGrid>
      <w:tr>
        <w:trPr/>
        <w:tc>
          <w:tcPr>
            <w:tcW w:w="59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w:t>
              <w:br/>
              <w:t>Dollars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balances due from depository institutions: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11,669,000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33,492,000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funds sold and securities purchased under agreement to resell: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and leases held for 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and leases held for investment, net of allowance: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96,399,000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Premises and fixed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real estate owned: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unconsolidated subsidiaries and associated companies: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and indirect investments in real estate ventures: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159,430,000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7734" w:type="dxa"/>
        <w:jc w:val="left"/>
        <w:tblInd w:w="0" w:type="dxa"/>
        <w:tblLayout w:type="fixed"/>
        <w:tblCellMar>
          <w:top w:w="0" w:type="dxa"/>
          <w:left w:w="0" w:type="dxa"/>
          <w:bottom w:w="28" w:type="dxa"/>
          <w:right w:w="0" w:type="dxa"/>
        </w:tblCellMar>
      </w:tblPr>
      <w:tblGrid>
        <w:gridCol w:w="6455"/>
        <w:gridCol w:w="60"/>
        <w:gridCol w:w="61"/>
        <w:gridCol w:w="1083"/>
        <w:gridCol w:w="75"/>
      </w:tblGrid>
      <w:tr>
        <w:trPr/>
        <w:tc>
          <w:tcPr>
            <w:tcW w:w="645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w:t>
              <w:br/>
              <w:t>Dollars</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132,760,000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funds purchased and securities sold under agreements to repurchase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borrowed money: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notes and debentures: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141,301,000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4919" w:type="dxa"/>
        <w:jc w:val="left"/>
        <w:tblInd w:w="0" w:type="dxa"/>
        <w:tblLayout w:type="fixed"/>
        <w:tblCellMar>
          <w:top w:w="0" w:type="dxa"/>
          <w:left w:w="0" w:type="dxa"/>
          <w:bottom w:w="28" w:type="dxa"/>
          <w:right w:w="0" w:type="dxa"/>
        </w:tblCellMar>
      </w:tblPr>
      <w:tblGrid>
        <w:gridCol w:w="3620"/>
        <w:gridCol w:w="60"/>
        <w:gridCol w:w="61"/>
        <w:gridCol w:w="1083"/>
        <w:gridCol w:w="95"/>
      </w:tblGrid>
      <w:tr>
        <w:trPr/>
        <w:tc>
          <w:tcPr>
            <w:tcW w:w="362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w:t>
              <w:br/>
              <w:t>Dollars</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Surplus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16,466,000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 Earnings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3,317,000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18,129,000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159,430,000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 w:name="tm2619274d1_ex-filingfees.htm"/>
      <w:bookmarkStart w:id="26" w:name="kstm2619274d1_exfilingfees"/>
      <w:bookmarkStart w:id="27" w:name="tm2619274d1_ex-filingfees.htm"/>
      <w:bookmarkStart w:id="28" w:name="kstm2619274d1_exfilingfees"/>
      <w:bookmarkEnd w:id="27"/>
      <w:bookmarkEnd w:id="28"/>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AUTOZONE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9" w:name="MaxAggtOfferingPrice"/>
            <w:bookmarkEnd w:id="29"/>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0" w:name="TotalFee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PreviouslyPaid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Offset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NetFee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7"/>
        <w:gridCol w:w="8702"/>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1(a). There is being registered hereunder an indeterminate principal amount or number of debt securities as may from time to time be issued at indeterminate prices. 1(b). In accordance with Rule 456(b) and Rule 457(r) of the rules and regulations under the Securities Act of 1933, the registrant is deferring payment of all of the registration fee. The registrant will calculate the registration fee applicable to an offer of securities pursuant to this Registration Statement based on the fee payment rate in effect on the date of such fee payment.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66787/000110465925102611/azo-20250830x10k.htm" TargetMode="External"/><Relationship Id="rId4" Type="http://schemas.openxmlformats.org/officeDocument/2006/relationships/hyperlink" Target="https://www.sec.gov/ix?doc=/Archives/edgar/data/866787/000110465925103210/azo-20251217xdef14a.htm" TargetMode="External"/><Relationship Id="rId5" Type="http://schemas.openxmlformats.org/officeDocument/2006/relationships/hyperlink" Target="https://www.sec.gov/ix?doc=/Archives/edgar/data/866787/000110465925123222/azo-20251122x10q.htm" TargetMode="External"/><Relationship Id="rId6" Type="http://schemas.openxmlformats.org/officeDocument/2006/relationships/hyperlink" Target="https://www.sec.gov/ix?doc=/Archives/edgar/data/866787/000110465926032757/azo-20260214x10q.htm" TargetMode="External"/><Relationship Id="rId7" Type="http://schemas.openxmlformats.org/officeDocument/2006/relationships/hyperlink" Target="https://www.sec.gov/ix?doc=/Archives/edgar/data/866787/000110465926073525/azo-20260509x10q.htm" TargetMode="External"/><Relationship Id="rId8" Type="http://schemas.openxmlformats.org/officeDocument/2006/relationships/hyperlink" Target="https://www.sec.gov/ix?doc=/Archives/edgar/data/866787/000117184325006358/f8k_100825.htm" TargetMode="External"/><Relationship Id="rId9" Type="http://schemas.openxmlformats.org/officeDocument/2006/relationships/hyperlink" Target="https://www.sec.gov/ix?doc=/Archives/edgar/data/866787/000117184325008040/f8k_121925.htm" TargetMode="External"/><Relationship Id="rId10" Type="http://schemas.openxmlformats.org/officeDocument/2006/relationships/hyperlink" Target="https://www.sec.gov/ix?doc=/Archives/edgar/data/866787/000117184326004150/f8k_061626.htm" TargetMode="External"/><Relationship Id="rId11" Type="http://schemas.openxmlformats.org/officeDocument/2006/relationships/hyperlink" Target="https://www.sec.gov/ix?doc=/Archives/edgar/data/866787/000110465925102611/azo-20250830x10k.htm" TargetMode="External"/><Relationship Id="rId12" Type="http://schemas.openxmlformats.org/officeDocument/2006/relationships/hyperlink" Target="https://www.sec.gov/ix?doc=/Archives/edgar/data/866787/000110465925123222/azo-20251122x10q.htm" TargetMode="External"/><Relationship Id="rId13" Type="http://schemas.openxmlformats.org/officeDocument/2006/relationships/hyperlink" Target="https://www.sec.gov/ix?doc=/Archives/edgar/data/866787/000110465926032757/azo-20260214x10q.htm" TargetMode="External"/><Relationship Id="rId14" Type="http://schemas.openxmlformats.org/officeDocument/2006/relationships/hyperlink" Target="https://www.sec.gov/ix?doc=/Archives/edgar/data/866787/000110465926073525/azo-20260509x10q.htm" TargetMode="External"/><Relationship Id="rId15" Type="http://schemas.openxmlformats.org/officeDocument/2006/relationships/hyperlink" Target="https://www.sec.gov/Archives/edgar/data/866787/0000866787-99-000003.txt" TargetMode="External"/><Relationship Id="rId16" Type="http://schemas.openxmlformats.org/officeDocument/2006/relationships/hyperlink" Target="https://www.sec.gov/Archives/edgar/data/866787/000117184325001937/exh_31.htm" TargetMode="External"/><Relationship Id="rId17" Type="http://schemas.openxmlformats.org/officeDocument/2006/relationships/hyperlink" Target="https://www.sec.gov/Archives/edgar/data/866787/000119312503032080/dex41.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24906</Words>
  <Characters>128645</Characters>
  <CharactersWithSpaces>154757</CharactersWithSpaces>
  <Paragraphs>2023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